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EEC92">
      <w:pPr>
        <w:pStyle w:val="2"/>
        <w:shd w:val="clear" w:color="auto" w:fill="FFFFFF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需求背景（required）</w:t>
      </w:r>
    </w:p>
    <w:p w14:paraId="3B652307">
      <w:pPr>
        <w:pStyle w:val="3"/>
        <w:shd w:val="clear" w:color="auto" w:fill="FFFFFF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需求来源</w:t>
      </w:r>
    </w:p>
    <w:p w14:paraId="6BF98118">
      <w:pPr>
        <w:pStyle w:val="3"/>
        <w:shd w:val="clear" w:color="auto" w:fill="FFFFFF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背景介绍</w:t>
      </w:r>
    </w:p>
    <w:p w14:paraId="107AA6C1">
      <w:pPr>
        <w:pStyle w:val="4"/>
        <w:rPr>
          <w:rFonts w:hint="eastAsia"/>
        </w:rPr>
      </w:pPr>
      <w:r>
        <w:t xml:space="preserve"> </w:t>
      </w:r>
      <w:r>
        <w:rPr>
          <w:rFonts w:hint="eastAsia"/>
          <w:lang w:val="en-US" w:eastAsia="zh-CN"/>
        </w:rPr>
        <w:t>Addcdiv</w:t>
      </w:r>
      <w:r>
        <w:rPr>
          <w:rFonts w:hint="eastAsia"/>
        </w:rPr>
        <w:t>算子实现优化</w:t>
      </w:r>
    </w:p>
    <w:p w14:paraId="59602045">
      <w:pPr>
        <w:pStyle w:val="13"/>
        <w:rPr>
          <w:rFonts w:hint="eastAsia"/>
        </w:rPr>
      </w:pPr>
      <w:r>
        <w:rPr>
          <w:rFonts w:hint="eastAsia"/>
        </w:rPr>
        <w:t>基于</w:t>
      </w:r>
      <w:r>
        <w:rPr>
          <w:rFonts w:hint="eastAsia"/>
          <w:lang w:val="en-US" w:eastAsia="zh-CN"/>
        </w:rPr>
        <w:t>Addcdiv</w:t>
      </w:r>
      <w:r>
        <w:rPr>
          <w:rFonts w:hint="eastAsia"/>
        </w:rPr>
        <w:t>算子历史TBE版本使用Ascend C编程语言进行优化。</w:t>
      </w:r>
    </w:p>
    <w:p w14:paraId="3AECE11E">
      <w:pPr>
        <w:pStyle w:val="13"/>
        <w:rPr>
          <w:rFonts w:hint="eastAsia"/>
        </w:rPr>
      </w:pPr>
      <w:r>
        <w:rPr>
          <w:rFonts w:hint="eastAsia"/>
          <w:lang w:val="en-US" w:eastAsia="zh-CN"/>
        </w:rPr>
        <w:t>Addcdiv</w:t>
      </w:r>
      <w:r>
        <w:rPr>
          <w:rFonts w:hint="eastAsia"/>
        </w:rPr>
        <w:t>算子（TBE）实现路径和相关API路径</w:t>
      </w:r>
    </w:p>
    <w:p w14:paraId="0F687B11">
      <w:pPr>
        <w:pStyle w:val="13"/>
        <w:rPr>
          <w:rFonts w:hint="eastAsia"/>
        </w:rPr>
      </w:pPr>
      <w:r>
        <w:rPr>
          <w:rFonts w:hint="eastAsia"/>
          <w:lang w:val="en-US" w:eastAsia="zh-CN"/>
        </w:rPr>
        <w:t>Addcdiv</w:t>
      </w:r>
      <w:r>
        <w:rPr>
          <w:rFonts w:hint="eastAsia"/>
        </w:rPr>
        <w:t>算子实现路径为：/usr/local/Ascend/ascend-toolkit/latest/opp/built-in/op_impl/ai_core/tbe/impl</w:t>
      </w:r>
    </w:p>
    <w:p w14:paraId="1CB3DE9B">
      <w:pPr>
        <w:pStyle w:val="13"/>
        <w:rPr>
          <w:rFonts w:hint="eastAsia"/>
        </w:rPr>
      </w:pPr>
      <w:r>
        <w:rPr>
          <w:rFonts w:hint="eastAsia"/>
          <w:lang w:val="en-US" w:eastAsia="zh-CN"/>
        </w:rPr>
        <w:t>Addcdiv</w:t>
      </w:r>
      <w:r>
        <w:rPr>
          <w:rFonts w:hint="eastAsia"/>
        </w:rPr>
        <w:t>算子实现中的API路径：/usr/local/Ascend/ascend-toolkit/latest/python/site-packages/tbe/dsl</w:t>
      </w:r>
    </w:p>
    <w:p w14:paraId="1825EC29">
      <w:pPr>
        <w:pStyle w:val="4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Addcdiv</w:t>
      </w:r>
      <w:r>
        <w:rPr>
          <w:rFonts w:hint="eastAsia"/>
        </w:rPr>
        <w:t>算子现状分析</w:t>
      </w:r>
    </w:p>
    <w:p w14:paraId="5DD90EE7">
      <w:pPr>
        <w:rPr>
          <w:rFonts w:hint="eastAsia"/>
        </w:rPr>
      </w:pPr>
      <w:r>
        <w:rPr>
          <w:rFonts w:hint="eastAsia"/>
        </w:rPr>
        <w:t>通过对</w:t>
      </w:r>
      <w:r>
        <w:rPr>
          <w:rFonts w:hint="eastAsia"/>
          <w:lang w:val="en-US" w:eastAsia="zh-CN"/>
        </w:rPr>
        <w:t>Addcdiv</w:t>
      </w:r>
      <w:r>
        <w:rPr>
          <w:rFonts w:hint="eastAsia"/>
        </w:rPr>
        <w:t>算子TBE版本的功能分析，当前支持的能力如下：</w:t>
      </w:r>
    </w:p>
    <w:p w14:paraId="5FACD8EA">
      <w:pPr>
        <w:rPr>
          <w:rFonts w:hint="eastAsia"/>
        </w:rPr>
      </w:pPr>
      <w:r>
        <w:rPr>
          <w:rFonts w:hint="eastAsia"/>
          <w:lang w:val="en-US" w:eastAsia="zh-CN"/>
        </w:rPr>
        <w:t>①input_data,x1,x2</w:t>
      </w:r>
      <w:r>
        <w:rPr>
          <w:rFonts w:hint="eastAsia"/>
        </w:rPr>
        <w:t>支持float16，float32，bfloat16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种格式的输入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value</w:t>
      </w:r>
      <w:r>
        <w:rPr>
          <w:rFonts w:hint="eastAsia"/>
        </w:rPr>
        <w:t>支持float16，float32，</w:t>
      </w:r>
      <w:r>
        <w:rPr>
          <w:rFonts w:hint="eastAsia"/>
          <w:lang w:val="en-US" w:eastAsia="zh-CN"/>
        </w:rPr>
        <w:t>int32，</w:t>
      </w:r>
      <w:r>
        <w:rPr>
          <w:rFonts w:hint="eastAsia"/>
        </w:rPr>
        <w:t>bfloat16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种格式的输入。</w:t>
      </w:r>
    </w:p>
    <w:p w14:paraId="5993C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②Addcdiv算子涉及到对输入数据进行广播（输入数据的shape调整到相同大小）</w:t>
      </w:r>
    </w:p>
    <w:p w14:paraId="3D7DF8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③在对输入数据进行广播操作后，调用vmul、vdiv和vadd接口实现相应的表达式：y=input_data+value×(x1/x2)</w:t>
      </w:r>
    </w:p>
    <w:p w14:paraId="2F4F3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Addcdiv算子TBE版本的整体流程图如下图所示：</w:t>
      </w:r>
    </w:p>
    <w:p w14:paraId="6871FF0C">
      <w:pPr>
        <w:pStyle w:val="13"/>
        <w:shd w:val="clear" w:color="auto" w:fill="FFFFFF"/>
        <w:spacing w:before="0" w:beforeAutospacing="0" w:after="312" w:afterAutospacing="0"/>
        <w:jc w:val="center"/>
        <w:rPr>
          <w:rFonts w:hint="default" w:ascii="Huawei Sans" w:hAnsi="Huawei Sans"/>
          <w:color w:val="494949"/>
          <w:lang w:val="en-US" w:eastAsia="zh-CN"/>
        </w:rPr>
      </w:pPr>
      <w:r>
        <w:rPr>
          <w:rFonts w:hint="default" w:ascii="Huawei Sans" w:hAnsi="Huawei Sans"/>
          <w:color w:val="494949"/>
          <w:lang w:val="en-US" w:eastAsia="zh-CN"/>
        </w:rPr>
        <w:drawing>
          <wp:inline distT="0" distB="0" distL="114300" distR="114300">
            <wp:extent cx="3738245" cy="8359775"/>
            <wp:effectExtent l="0" t="0" r="5715" b="8255"/>
            <wp:docPr id="7" name="图片 7" descr="AddCdiv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ddCdiv.drawi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835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B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vmul接口具体实现如下图所示：</w:t>
      </w:r>
    </w:p>
    <w:p w14:paraId="6E7970C8">
      <w:pPr>
        <w:pStyle w:val="13"/>
        <w:shd w:val="clear" w:color="auto" w:fill="FFFFFF"/>
        <w:spacing w:before="0" w:beforeAutospacing="0" w:after="312" w:afterAutospacing="0"/>
        <w:rPr>
          <w:rFonts w:hint="eastAsia" w:ascii="Huawei Sans" w:hAnsi="Huawei Sans"/>
          <w:color w:val="494949"/>
          <w:lang w:val="en-US" w:eastAsia="zh-CN"/>
        </w:rPr>
      </w:pPr>
      <w:r>
        <w:rPr>
          <w:rFonts w:hint="eastAsia" w:ascii="Huawei Sans" w:hAnsi="Huawei Sans"/>
          <w:color w:val="494949"/>
          <w:lang w:val="en-US" w:eastAsia="zh-CN"/>
        </w:rPr>
        <w:drawing>
          <wp:inline distT="0" distB="0" distL="114300" distR="114300">
            <wp:extent cx="5267325" cy="3180080"/>
            <wp:effectExtent l="0" t="0" r="13335" b="5080"/>
            <wp:docPr id="6" name="图片 6" descr="vmu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vmul.drawi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1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vdiv接口集体实现如下图所示：</w:t>
      </w:r>
    </w:p>
    <w:p w14:paraId="244BC42E">
      <w:pPr>
        <w:pStyle w:val="13"/>
        <w:shd w:val="clear" w:color="auto" w:fill="FFFFFF"/>
        <w:spacing w:before="0" w:beforeAutospacing="0" w:after="312" w:afterAutospacing="0"/>
        <w:jc w:val="center"/>
        <w:rPr>
          <w:rFonts w:hint="default" w:ascii="Huawei Sans" w:hAnsi="Huawei Sans"/>
          <w:color w:val="494949"/>
          <w:lang w:val="en-US" w:eastAsia="zh-CN"/>
        </w:rPr>
      </w:pPr>
      <w:r>
        <w:rPr>
          <w:rFonts w:hint="default" w:ascii="Huawei Sans" w:hAnsi="Huawei Sans"/>
          <w:color w:val="494949"/>
          <w:lang w:val="en-US" w:eastAsia="zh-CN"/>
        </w:rPr>
        <w:drawing>
          <wp:inline distT="0" distB="0" distL="114300" distR="114300">
            <wp:extent cx="5266690" cy="3086100"/>
            <wp:effectExtent l="0" t="0" r="0" b="1270"/>
            <wp:docPr id="5" name="图片 5" descr="vdiv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vdiv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B6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vadd接口具体实现如下图所示：</w:t>
      </w:r>
    </w:p>
    <w:p w14:paraId="06312CD2">
      <w:pPr>
        <w:pStyle w:val="13"/>
        <w:shd w:val="clear" w:color="auto" w:fill="FFFFFF"/>
        <w:spacing w:before="0" w:beforeAutospacing="0" w:after="312" w:afterAutospacing="0"/>
        <w:rPr>
          <w:rFonts w:hint="eastAsia" w:ascii="Huawei Sans" w:hAnsi="Huawei Sans" w:eastAsia="宋体"/>
          <w:color w:val="494949"/>
          <w:lang w:eastAsia="zh-CN"/>
        </w:rPr>
      </w:pPr>
      <w:r>
        <w:rPr>
          <w:rFonts w:hint="eastAsia" w:ascii="Huawei Sans" w:hAnsi="Huawei Sans" w:eastAsia="宋体"/>
          <w:color w:val="494949"/>
          <w:lang w:eastAsia="zh-CN"/>
        </w:rPr>
        <w:drawing>
          <wp:inline distT="0" distB="0" distL="114300" distR="114300">
            <wp:extent cx="5273675" cy="4549140"/>
            <wp:effectExtent l="0" t="0" r="6985" b="5080"/>
            <wp:docPr id="3" name="图片 3" descr="vad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vadd.drawi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5F38">
      <w:pPr>
        <w:pStyle w:val="13"/>
        <w:shd w:val="clear" w:color="auto" w:fill="FFFFFF"/>
        <w:spacing w:before="0" w:beforeAutospacing="0" w:after="312" w:afterAutospacing="0"/>
        <w:rPr>
          <w:rFonts w:hint="eastAsia" w:ascii="Huawei Sans" w:hAnsi="Huawei Sans"/>
          <w:color w:val="494949"/>
        </w:rPr>
      </w:pPr>
    </w:p>
    <w:p w14:paraId="172C70ED">
      <w:pPr>
        <w:pStyle w:val="2"/>
        <w:shd w:val="clear" w:color="auto" w:fill="FFFFFF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需求分析</w:t>
      </w:r>
    </w:p>
    <w:p w14:paraId="220EAF0F">
      <w:pPr>
        <w:pStyle w:val="3"/>
        <w:shd w:val="clear" w:color="auto" w:fill="FFFFFF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外部组件依赖</w:t>
      </w:r>
    </w:p>
    <w:p w14:paraId="3BE5A8E7">
      <w:pPr>
        <w:pStyle w:val="13"/>
        <w:rPr>
          <w:rFonts w:hint="eastAsia"/>
        </w:rPr>
      </w:pPr>
      <w:r>
        <w:t>不涉及外部组件依赖。</w:t>
      </w:r>
    </w:p>
    <w:p w14:paraId="59DC39C6">
      <w:pPr>
        <w:pStyle w:val="3"/>
        <w:shd w:val="clear" w:color="auto" w:fill="FFFFFF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内部适配模块</w:t>
      </w:r>
    </w:p>
    <w:p w14:paraId="110AAAE9">
      <w:pPr>
        <w:pStyle w:val="13"/>
        <w:rPr>
          <w:rFonts w:hint="eastAsia"/>
        </w:rPr>
      </w:pPr>
      <w:r>
        <w:t>适配Aclnn接口</w:t>
      </w:r>
      <w:r>
        <w:rPr>
          <w:rFonts w:hint="eastAsia"/>
          <w:lang w:val="en-US" w:eastAsia="zh-CN"/>
        </w:rPr>
        <w:t>和图模式调用</w:t>
      </w:r>
      <w:r>
        <w:t>。</w:t>
      </w:r>
    </w:p>
    <w:p w14:paraId="4694505E">
      <w:pPr>
        <w:pStyle w:val="3"/>
        <w:shd w:val="clear" w:color="auto" w:fill="FFFFFF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需求模块设计</w:t>
      </w:r>
    </w:p>
    <w:p w14:paraId="687D38A2">
      <w:pPr>
        <w:pStyle w:val="4"/>
        <w:rPr>
          <w:rFonts w:hint="eastAsia"/>
        </w:rPr>
      </w:pPr>
      <w:r>
        <w:rPr>
          <w:rFonts w:hint="eastAsia"/>
        </w:rPr>
        <w:t xml:space="preserve"> 算子原型</w:t>
      </w:r>
    </w:p>
    <w:p w14:paraId="56F45AC2">
      <w:pPr>
        <w:pStyle w:val="3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原型设计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241"/>
        <w:gridCol w:w="1347"/>
        <w:gridCol w:w="1293"/>
        <w:gridCol w:w="1620"/>
        <w:gridCol w:w="1497"/>
      </w:tblGrid>
      <w:tr w14:paraId="0DBAB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top"/>
          </w:tcPr>
          <w:p w14:paraId="658302F1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241" w:type="dxa"/>
            <w:vAlign w:val="top"/>
          </w:tcPr>
          <w:p w14:paraId="7DCDEEA3">
            <w:pPr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347" w:type="dxa"/>
            <w:vAlign w:val="top"/>
          </w:tcPr>
          <w:p w14:paraId="36C78473">
            <w:pPr>
              <w:rPr>
                <w:rFonts w:hint="eastAsia"/>
              </w:rPr>
            </w:pPr>
            <w:r>
              <w:rPr>
                <w:rFonts w:hint="eastAsia"/>
              </w:rPr>
              <w:t>dtype</w:t>
            </w:r>
          </w:p>
        </w:tc>
        <w:tc>
          <w:tcPr>
            <w:tcW w:w="1293" w:type="dxa"/>
            <w:vAlign w:val="top"/>
          </w:tcPr>
          <w:p w14:paraId="6C541158">
            <w:pPr>
              <w:rPr>
                <w:rFonts w:hint="eastAsia"/>
              </w:rPr>
            </w:pPr>
            <w:r>
              <w:rPr>
                <w:rFonts w:hint="eastAsia"/>
              </w:rPr>
              <w:t>format</w:t>
            </w:r>
          </w:p>
        </w:tc>
        <w:tc>
          <w:tcPr>
            <w:tcW w:w="1620" w:type="dxa"/>
            <w:vAlign w:val="top"/>
          </w:tcPr>
          <w:p w14:paraId="233E08BD">
            <w:pPr>
              <w:rPr>
                <w:rFonts w:hint="eastAsia"/>
              </w:rPr>
            </w:pPr>
            <w:r>
              <w:rPr>
                <w:rFonts w:hint="eastAsia"/>
              </w:rPr>
              <w:t>shape</w:t>
            </w:r>
          </w:p>
        </w:tc>
        <w:tc>
          <w:tcPr>
            <w:tcW w:w="1497" w:type="dxa"/>
            <w:vAlign w:val="top"/>
          </w:tcPr>
          <w:p w14:paraId="28E450EE">
            <w:pPr>
              <w:rPr>
                <w:rFonts w:hint="eastAsia"/>
              </w:rPr>
            </w:pPr>
            <w:r>
              <w:rPr>
                <w:rFonts w:hint="eastAsia"/>
              </w:rPr>
              <w:t>介绍</w:t>
            </w:r>
          </w:p>
        </w:tc>
      </w:tr>
      <w:tr w14:paraId="7738F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top"/>
          </w:tcPr>
          <w:p w14:paraId="72BFF70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Input_data</w:t>
            </w:r>
          </w:p>
        </w:tc>
        <w:tc>
          <w:tcPr>
            <w:tcW w:w="1241" w:type="dxa"/>
            <w:vAlign w:val="top"/>
          </w:tcPr>
          <w:p w14:paraId="0802C64B">
            <w:pPr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  <w:vAlign w:val="top"/>
          </w:tcPr>
          <w:p w14:paraId="009D0C05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fp16/</w:t>
            </w:r>
            <w:r>
              <w:rPr>
                <w:rFonts w:hint="eastAsia"/>
              </w:rPr>
              <w:t>fp3</w:t>
            </w:r>
            <w:r>
              <w:rPr>
                <w:rFonts w:hint="eastAsia"/>
                <w:lang w:val="en-US" w:eastAsia="zh-CN"/>
              </w:rPr>
              <w:t>2/bf16</w:t>
            </w:r>
          </w:p>
        </w:tc>
        <w:tc>
          <w:tcPr>
            <w:tcW w:w="1293" w:type="dxa"/>
            <w:vAlign w:val="top"/>
          </w:tcPr>
          <w:p w14:paraId="4E4F4FAF">
            <w:pPr>
              <w:rPr>
                <w:rFonts w:hint="eastAsia"/>
              </w:rPr>
            </w:pPr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  <w:vAlign w:val="top"/>
          </w:tcPr>
          <w:p w14:paraId="137235D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all</w:t>
            </w:r>
          </w:p>
        </w:tc>
        <w:tc>
          <w:tcPr>
            <w:tcW w:w="1497" w:type="dxa"/>
            <w:vAlign w:val="top"/>
          </w:tcPr>
          <w:p w14:paraId="454B456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输出</w:t>
            </w:r>
          </w:p>
        </w:tc>
      </w:tr>
      <w:tr w14:paraId="1334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top"/>
          </w:tcPr>
          <w:p w14:paraId="7AB3AF8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x1</w:t>
            </w:r>
          </w:p>
        </w:tc>
        <w:tc>
          <w:tcPr>
            <w:tcW w:w="1241" w:type="dxa"/>
            <w:vAlign w:val="top"/>
          </w:tcPr>
          <w:p w14:paraId="46595755">
            <w:pPr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  <w:vAlign w:val="top"/>
          </w:tcPr>
          <w:p w14:paraId="02E3D120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fp16/</w:t>
            </w:r>
            <w:r>
              <w:rPr>
                <w:rFonts w:hint="eastAsia"/>
              </w:rPr>
              <w:t>fp32</w:t>
            </w:r>
            <w:r>
              <w:rPr>
                <w:rFonts w:hint="eastAsia"/>
                <w:lang w:val="en-US" w:eastAsia="zh-CN"/>
              </w:rPr>
              <w:t>/bf16</w:t>
            </w:r>
          </w:p>
        </w:tc>
        <w:tc>
          <w:tcPr>
            <w:tcW w:w="1293" w:type="dxa"/>
            <w:vAlign w:val="top"/>
          </w:tcPr>
          <w:p w14:paraId="300E771B">
            <w:pPr>
              <w:rPr>
                <w:rFonts w:hint="eastAsia"/>
              </w:rPr>
            </w:pPr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  <w:vAlign w:val="top"/>
          </w:tcPr>
          <w:p w14:paraId="098AC66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all</w:t>
            </w:r>
          </w:p>
        </w:tc>
        <w:tc>
          <w:tcPr>
            <w:tcW w:w="1497" w:type="dxa"/>
            <w:vAlign w:val="top"/>
          </w:tcPr>
          <w:p w14:paraId="21113CB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</w:tc>
      </w:tr>
      <w:tr w14:paraId="5C16A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top"/>
          </w:tcPr>
          <w:p w14:paraId="2BE10FC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x2</w:t>
            </w:r>
          </w:p>
        </w:tc>
        <w:tc>
          <w:tcPr>
            <w:tcW w:w="1241" w:type="dxa"/>
            <w:vAlign w:val="top"/>
          </w:tcPr>
          <w:p w14:paraId="4D00C8CB">
            <w:pPr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  <w:vAlign w:val="top"/>
          </w:tcPr>
          <w:p w14:paraId="1940EE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fp16/</w:t>
            </w:r>
            <w:r>
              <w:rPr>
                <w:rFonts w:hint="eastAsia"/>
              </w:rPr>
              <w:t>fp32</w:t>
            </w:r>
            <w:r>
              <w:rPr>
                <w:rFonts w:hint="eastAsia"/>
                <w:lang w:val="en-US" w:eastAsia="zh-CN"/>
              </w:rPr>
              <w:t>/bf16</w:t>
            </w:r>
          </w:p>
        </w:tc>
        <w:tc>
          <w:tcPr>
            <w:tcW w:w="1293" w:type="dxa"/>
            <w:vAlign w:val="top"/>
          </w:tcPr>
          <w:p w14:paraId="11873820">
            <w:pPr>
              <w:rPr>
                <w:rFonts w:hint="eastAsia"/>
              </w:rPr>
            </w:pPr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  <w:vAlign w:val="top"/>
          </w:tcPr>
          <w:p w14:paraId="285C4B1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all</w:t>
            </w:r>
          </w:p>
        </w:tc>
        <w:tc>
          <w:tcPr>
            <w:tcW w:w="1497" w:type="dxa"/>
            <w:vAlign w:val="top"/>
          </w:tcPr>
          <w:p w14:paraId="4070D44F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输入</w:t>
            </w:r>
          </w:p>
        </w:tc>
      </w:tr>
      <w:tr w14:paraId="78FEF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top"/>
          </w:tcPr>
          <w:p w14:paraId="5976024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value</w:t>
            </w:r>
          </w:p>
        </w:tc>
        <w:tc>
          <w:tcPr>
            <w:tcW w:w="1241" w:type="dxa"/>
            <w:vAlign w:val="top"/>
          </w:tcPr>
          <w:p w14:paraId="054B5711">
            <w:pPr>
              <w:rPr>
                <w:rFonts w:hint="eastAsia"/>
              </w:rPr>
            </w:pPr>
            <w:r>
              <w:rPr>
                <w:rFonts w:hint="eastAsia"/>
              </w:rPr>
              <w:t>输入</w:t>
            </w:r>
          </w:p>
        </w:tc>
        <w:tc>
          <w:tcPr>
            <w:tcW w:w="1347" w:type="dxa"/>
            <w:vAlign w:val="top"/>
          </w:tcPr>
          <w:p w14:paraId="517223B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fp16/</w:t>
            </w:r>
            <w:r>
              <w:rPr>
                <w:rFonts w:hint="eastAsia"/>
              </w:rPr>
              <w:t>fp32</w:t>
            </w:r>
            <w:r>
              <w:rPr>
                <w:rFonts w:hint="eastAsia"/>
                <w:lang w:val="en-US" w:eastAsia="zh-CN"/>
              </w:rPr>
              <w:t>/bf16</w:t>
            </w:r>
          </w:p>
        </w:tc>
        <w:tc>
          <w:tcPr>
            <w:tcW w:w="1293" w:type="dxa"/>
            <w:vAlign w:val="top"/>
          </w:tcPr>
          <w:p w14:paraId="00CC8EB1">
            <w:pPr>
              <w:rPr>
                <w:rFonts w:hint="eastAsia"/>
              </w:rPr>
            </w:pPr>
            <w:r>
              <w:rPr>
                <w:rFonts w:hint="eastAsia"/>
              </w:rPr>
              <w:t>ND</w:t>
            </w:r>
          </w:p>
        </w:tc>
        <w:tc>
          <w:tcPr>
            <w:tcW w:w="1620" w:type="dxa"/>
            <w:vAlign w:val="top"/>
          </w:tcPr>
          <w:p w14:paraId="5F02D45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all</w:t>
            </w:r>
          </w:p>
        </w:tc>
        <w:tc>
          <w:tcPr>
            <w:tcW w:w="1497" w:type="dxa"/>
            <w:vAlign w:val="top"/>
          </w:tcPr>
          <w:p w14:paraId="5A58AA8D">
            <w:pPr>
              <w:rPr>
                <w:rFonts w:hint="eastAsia"/>
              </w:rPr>
            </w:pPr>
            <w:r>
              <w:rPr>
                <w:rFonts w:hint="eastAsia"/>
              </w:rPr>
              <w:t>输</w:t>
            </w:r>
            <w:r>
              <w:rPr>
                <w:rFonts w:hint="eastAsia"/>
                <w:lang w:val="en-US" w:eastAsia="zh-CN"/>
              </w:rPr>
              <w:t>入</w:t>
            </w:r>
          </w:p>
        </w:tc>
      </w:tr>
      <w:tr w14:paraId="062C0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8" w:type="dxa"/>
            <w:vAlign w:val="top"/>
          </w:tcPr>
          <w:p w14:paraId="30D899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</w:p>
        </w:tc>
        <w:tc>
          <w:tcPr>
            <w:tcW w:w="1241" w:type="dxa"/>
            <w:vAlign w:val="top"/>
          </w:tcPr>
          <w:p w14:paraId="0B6EBF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</w:t>
            </w:r>
          </w:p>
        </w:tc>
        <w:tc>
          <w:tcPr>
            <w:tcW w:w="1347" w:type="dxa"/>
            <w:vAlign w:val="top"/>
          </w:tcPr>
          <w:p w14:paraId="086E9D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fp16/</w:t>
            </w:r>
            <w:r>
              <w:rPr>
                <w:rFonts w:hint="eastAsia"/>
              </w:rPr>
              <w:t>fp32</w:t>
            </w:r>
            <w:r>
              <w:rPr>
                <w:rFonts w:hint="eastAsia"/>
                <w:lang w:val="en-US" w:eastAsia="zh-CN"/>
              </w:rPr>
              <w:t>/bf16</w:t>
            </w:r>
          </w:p>
        </w:tc>
        <w:tc>
          <w:tcPr>
            <w:tcW w:w="1293" w:type="dxa"/>
            <w:vAlign w:val="top"/>
          </w:tcPr>
          <w:p w14:paraId="7288751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ND</w:t>
            </w:r>
          </w:p>
        </w:tc>
        <w:tc>
          <w:tcPr>
            <w:tcW w:w="1620" w:type="dxa"/>
            <w:vAlign w:val="top"/>
          </w:tcPr>
          <w:p w14:paraId="17C1D7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同输入</w:t>
            </w:r>
          </w:p>
        </w:tc>
        <w:tc>
          <w:tcPr>
            <w:tcW w:w="1497" w:type="dxa"/>
            <w:vAlign w:val="top"/>
          </w:tcPr>
          <w:p w14:paraId="0A6EC5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</w:t>
            </w:r>
          </w:p>
        </w:tc>
      </w:tr>
    </w:tbl>
    <w:p w14:paraId="6ED7D8CC">
      <w:pPr>
        <w:pStyle w:val="35"/>
        <w:widowControl/>
        <w:numPr>
          <w:ilvl w:val="0"/>
          <w:numId w:val="3"/>
        </w:numPr>
        <w:shd w:val="clear" w:color="auto" w:fill="FFFFFF"/>
        <w:autoSpaceDE/>
        <w:autoSpaceDN/>
        <w:adjustRightInd/>
        <w:spacing w:line="240" w:lineRule="auto"/>
        <w:ind w:firstLineChars="0"/>
        <w:rPr>
          <w:rFonts w:ascii="Huawei Sans" w:hAnsi="Huawei Sans" w:eastAsia="微软雅黑"/>
          <w:color w:val="494949"/>
        </w:rPr>
      </w:pPr>
      <w:r>
        <w:rPr>
          <w:rFonts w:hint="eastAsia"/>
        </w:rPr>
        <w:t>相关约束</w:t>
      </w:r>
    </w:p>
    <w:p w14:paraId="26FA79F8">
      <w:pPr>
        <w:pStyle w:val="35"/>
        <w:rPr>
          <w:rFonts w:hint="eastAsia"/>
        </w:rPr>
      </w:pPr>
      <w:r>
        <w:rPr>
          <w:rFonts w:hint="eastAsia"/>
        </w:rPr>
        <w:t>Atlas A2 训练系列产品/Atlas 800I A2推理产品float16、float32、bfloat16</w:t>
      </w:r>
    </w:p>
    <w:p w14:paraId="5A46BBE6">
      <w:pPr>
        <w:pStyle w:val="2"/>
        <w:shd w:val="clear" w:color="auto" w:fill="FFFFFF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Cs w:val="24"/>
        </w:rPr>
        <w:t xml:space="preserve"> </w:t>
      </w:r>
      <w:r>
        <w:rPr>
          <w:rFonts w:hint="eastAsia" w:ascii="微软雅黑" w:hAnsi="微软雅黑" w:eastAsia="微软雅黑"/>
          <w:sz w:val="28"/>
          <w:szCs w:val="28"/>
        </w:rPr>
        <w:t>需求详细设计</w:t>
      </w:r>
    </w:p>
    <w:p w14:paraId="5D1A1490">
      <w:pPr>
        <w:pStyle w:val="3"/>
        <w:shd w:val="clear" w:color="auto" w:fill="FFFFFF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使能方式</w:t>
      </w:r>
    </w:p>
    <w:tbl>
      <w:tblPr>
        <w:tblStyle w:val="14"/>
        <w:tblW w:w="8497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29"/>
        <w:gridCol w:w="2268"/>
      </w:tblGrid>
      <w:tr w14:paraId="6ADB93B6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tblHeader/>
        </w:trPr>
        <w:tc>
          <w:tcPr>
            <w:tcW w:w="62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647EE3F6">
            <w:pPr>
              <w:spacing w:line="420" w:lineRule="atLeast"/>
              <w:jc w:val="center"/>
            </w:pPr>
            <w:r>
              <w:rPr>
                <w:rFonts w:ascii="Huawei Sans" w:hAnsi="Huawei Sans" w:eastAsia="微软雅黑"/>
                <w:b/>
                <w:bCs/>
                <w:color w:val="494949"/>
              </w:rPr>
              <w:t>上层框架</w:t>
            </w:r>
          </w:p>
        </w:tc>
        <w:tc>
          <w:tcPr>
            <w:tcW w:w="22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63605F1B">
            <w:pPr>
              <w:spacing w:line="420" w:lineRule="atLeast"/>
              <w:jc w:val="center"/>
            </w:pPr>
            <w:r>
              <w:rPr>
                <w:rFonts w:ascii="Huawei Sans" w:hAnsi="Huawei Sans" w:eastAsia="微软雅黑"/>
                <w:b/>
                <w:bCs/>
                <w:color w:val="494949"/>
              </w:rPr>
              <w:t>涉及的框架勾选</w:t>
            </w:r>
          </w:p>
        </w:tc>
      </w:tr>
      <w:tr w14:paraId="047561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67872457">
            <w:pPr>
              <w:spacing w:line="420" w:lineRule="atLeast"/>
            </w:pPr>
            <w:r>
              <w:rPr>
                <w:rFonts w:ascii="Huawei Sans" w:hAnsi="Huawei Sans" w:eastAsia="微软雅黑"/>
                <w:color w:val="494949"/>
              </w:rPr>
              <w:t>TF训练/推理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33AFB31D">
            <w:pPr>
              <w:spacing w:line="420" w:lineRule="atLeast"/>
            </w:pPr>
          </w:p>
        </w:tc>
      </w:tr>
      <w:tr w14:paraId="06719769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339F1CEF">
            <w:pPr>
              <w:spacing w:line="420" w:lineRule="atLeast"/>
              <w:rPr>
                <w:rFonts w:cs="宋体"/>
                <w:sz w:val="24"/>
                <w:szCs w:val="24"/>
              </w:rPr>
            </w:pPr>
            <w:r>
              <w:rPr>
                <w:rFonts w:ascii="Huawei Sans" w:hAnsi="Huawei Sans" w:eastAsia="微软雅黑"/>
                <w:color w:val="494949"/>
              </w:rPr>
              <w:t>Pytorch训练/推理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6396C2F4">
            <w:pPr>
              <w:spacing w:line="420" w:lineRule="atLeast"/>
            </w:pPr>
          </w:p>
        </w:tc>
      </w:tr>
      <w:tr w14:paraId="6988D5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09E10427">
            <w:pPr>
              <w:spacing w:line="420" w:lineRule="atLeast"/>
              <w:rPr>
                <w:rFonts w:cs="宋体"/>
                <w:sz w:val="24"/>
                <w:szCs w:val="24"/>
              </w:rPr>
            </w:pPr>
            <w:r>
              <w:rPr>
                <w:rFonts w:ascii="Huawei Sans" w:hAnsi="Huawei Sans" w:eastAsia="微软雅黑"/>
                <w:color w:val="494949"/>
              </w:rPr>
              <w:t>ATC推理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61FD6621">
            <w:pPr>
              <w:spacing w:line="420" w:lineRule="atLeast"/>
            </w:pPr>
            <w:r>
              <w:rPr>
                <w:rFonts w:ascii="Huawei Sans" w:hAnsi="Huawei Sans" w:eastAsia="微软雅黑"/>
                <w:color w:val="494949"/>
              </w:rPr>
              <w:t>√</w:t>
            </w:r>
          </w:p>
        </w:tc>
      </w:tr>
      <w:tr w14:paraId="7E2516AC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7A0252EC">
            <w:pPr>
              <w:spacing w:line="420" w:lineRule="atLeast"/>
              <w:rPr>
                <w:rFonts w:cs="宋体"/>
                <w:sz w:val="24"/>
                <w:szCs w:val="24"/>
              </w:rPr>
            </w:pPr>
            <w:r>
              <w:rPr>
                <w:rFonts w:ascii="Huawei Sans" w:hAnsi="Huawei Sans" w:eastAsia="微软雅黑"/>
                <w:color w:val="494949"/>
              </w:rPr>
              <w:t>Aclnn直调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1EA88927">
            <w:pPr>
              <w:spacing w:line="420" w:lineRule="atLeast"/>
            </w:pPr>
            <w:r>
              <w:rPr>
                <w:rFonts w:ascii="Huawei Sans" w:hAnsi="Huawei Sans" w:eastAsia="微软雅黑"/>
                <w:color w:val="494949"/>
              </w:rPr>
              <w:t>√</w:t>
            </w:r>
          </w:p>
        </w:tc>
      </w:tr>
      <w:tr w14:paraId="4E2B20F5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16E442EE">
            <w:pPr>
              <w:spacing w:line="420" w:lineRule="atLeast"/>
            </w:pPr>
            <w:r>
              <w:rPr>
                <w:rFonts w:ascii="Huawei Sans" w:hAnsi="Huawei Sans" w:eastAsia="微软雅黑"/>
                <w:color w:val="494949"/>
              </w:rPr>
              <w:t>OPAT调优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20C782FA">
            <w:pPr>
              <w:spacing w:line="420" w:lineRule="atLeast"/>
            </w:pPr>
          </w:p>
        </w:tc>
      </w:tr>
      <w:tr w14:paraId="5BFF15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" w:hRule="atLeast"/>
        </w:trPr>
        <w:tc>
          <w:tcPr>
            <w:tcW w:w="62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2201FFA0">
            <w:pPr>
              <w:spacing w:line="420" w:lineRule="atLeast"/>
              <w:rPr>
                <w:rFonts w:cs="宋体"/>
                <w:sz w:val="24"/>
                <w:szCs w:val="24"/>
              </w:rPr>
            </w:pPr>
            <w:r>
              <w:rPr>
                <w:rFonts w:ascii="Huawei Sans" w:hAnsi="Huawei Sans" w:eastAsia="微软雅黑"/>
                <w:color w:val="494949"/>
              </w:rPr>
              <w:t>SGAT子图切分</w:t>
            </w:r>
          </w:p>
        </w:tc>
        <w:tc>
          <w:tcPr>
            <w:tcW w:w="226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13D1033B">
            <w:pPr>
              <w:spacing w:line="420" w:lineRule="atLeast"/>
            </w:pPr>
          </w:p>
        </w:tc>
      </w:tr>
    </w:tbl>
    <w:p w14:paraId="500E29D6">
      <w:pPr>
        <w:rPr>
          <w:rFonts w:hint="eastAsia"/>
        </w:rPr>
      </w:pPr>
    </w:p>
    <w:p w14:paraId="78D6A0E7">
      <w:pPr>
        <w:pStyle w:val="3"/>
        <w:shd w:val="clear" w:color="auto" w:fill="FFFFFF"/>
        <w:rPr>
          <w:rFonts w:ascii="微软雅黑" w:hAnsi="微软雅黑" w:eastAsia="微软雅黑" w:cs="宋体"/>
        </w:rPr>
      </w:pPr>
      <w:r>
        <w:rPr>
          <w:rFonts w:hint="eastAsia" w:ascii="微软雅黑" w:hAnsi="微软雅黑" w:eastAsia="微软雅黑"/>
        </w:rPr>
        <w:t xml:space="preserve"> 需求总体设计</w:t>
      </w:r>
    </w:p>
    <w:p w14:paraId="1BFDA0E9">
      <w:pPr>
        <w:rPr>
          <w:rFonts w:hint="eastAsia"/>
          <w:b/>
          <w:bCs/>
        </w:rPr>
      </w:pPr>
      <w:r>
        <w:rPr>
          <w:rFonts w:hint="eastAsia"/>
          <w:b/>
          <w:bCs/>
        </w:rPr>
        <w:t>3.2.1  host侧设计：</w:t>
      </w:r>
    </w:p>
    <w:p w14:paraId="07EAE7F3">
      <w:pPr>
        <w:rPr>
          <w:rFonts w:hint="eastAsia"/>
          <w:lang w:val="en-US" w:eastAsia="zh-CN"/>
        </w:rPr>
      </w:pPr>
      <w:r>
        <w:rPr>
          <w:rFonts w:hint="eastAsia"/>
          <w:b/>
          <w:bCs/>
        </w:rPr>
        <w:t>tiling策略：</w:t>
      </w:r>
      <w:r>
        <w:rPr>
          <w:rFonts w:hint="eastAsia"/>
          <w:lang w:val="en-US" w:eastAsia="zh-CN"/>
        </w:rPr>
        <w:t xml:space="preserve"> </w:t>
      </w:r>
    </w:p>
    <w:p w14:paraId="3EF72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当不需要广播的情况下，算子计算过程不涉及数据的维度信息，故在host侧将数据视为一维向量，仅考虑数据个数，不考虑数据维度信息。</w:t>
      </w:r>
    </w:p>
    <w:p w14:paraId="67210651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cs="Times New Roman"/>
          <w:snapToGrid w:val="0"/>
          <w:color w:val="auto"/>
          <w:sz w:val="21"/>
          <w:szCs w:val="21"/>
          <w:lang w:val="en-US" w:eastAsia="zh-CN" w:bidi="ar-SA"/>
        </w:rPr>
        <w:t>在广播的情况下，在host侧获取input_data、x1、x2、value等输入的相应shape大小以及各自的维度dim信息，首先，通过函数实现输入的shape维度补全和统一，遍历所有输入对应的维度大小得到其中最大的维度数，维度缺失的输入在首部维度补1实现维度扩充。再根据对应的广播规则，遍历各输入对应的shape，纵向比较求得最大的维度数以此得到最终的广播形状，根据最终广播形状通过指定接口获得total_length。需要将host侧获取的输入形状，最终广播形状以及total_length变量传到kernel侧</w:t>
      </w: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。</w:t>
      </w:r>
    </w:p>
    <w:p w14:paraId="4B8A7383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任务均分：coreNum 根据输入长度和块大小动态调整，确保每个核心处理的数据块数均匀。</w:t>
      </w:r>
    </w:p>
    <w:p w14:paraId="0DA0754A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批量搬运：tileBlockNum 和 tileDataNum 计算单次搬运的数据量，通过 finalSmallTileNum 和 finalBigTileNum 确定小核/大核的搬运次数，将多次搬运合并为批量操作，减少冗余开销。尾块的处理逻辑确保不完整块也能被合并到计算流程中，避免数据碎片。</w:t>
      </w:r>
    </w:p>
    <w:p w14:paraId="4ED4963E">
      <w:pPr>
        <w:pStyle w:val="35"/>
        <w:numPr>
          <w:ilvl w:val="0"/>
          <w:numId w:val="4"/>
        </w:numPr>
        <w:ind w:firstLineChars="0"/>
      </w:pPr>
      <w:r>
        <w:rPr>
          <w:rFonts w:hint="eastAsia"/>
        </w:rPr>
        <w:t>分核策略</w:t>
      </w:r>
    </w:p>
    <w:p w14:paraId="2E0FC08F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优先使用满核的原则。</w:t>
      </w:r>
    </w:p>
    <w:p w14:paraId="345764C2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如果核间能均分，可视作无大小核区分，大核小核数据块一致；</w:t>
      </w:r>
    </w:p>
    <w:p w14:paraId="3893EDEE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如果核间不能均分，需要将余出的数据块分配到前几个核上。</w:t>
      </w:r>
    </w:p>
    <w:p w14:paraId="1A576993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输入数据大小计算：通过GetInputShape和GetDataTypeLength函数获取输入数据的大小和类型长度，计算出输入数据的总字节数。</w:t>
      </w:r>
    </w:p>
    <w:p w14:paraId="794BE745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UB内存大小和核心数量获取：通过平台信息获取UB内存大小和核心数量，并根据这些信息调整核心数量。</w:t>
      </w:r>
    </w:p>
    <w:p w14:paraId="7BC8787B">
      <w:pPr>
        <w:pStyle w:val="35"/>
        <w:numPr>
          <w:ilvl w:val="0"/>
          <w:numId w:val="4"/>
        </w:numPr>
        <w:ind w:firstLineChars="0"/>
      </w:pPr>
      <w:r>
        <w:rPr>
          <w:rFonts w:hint="eastAsia"/>
          <w:lang w:val="en-US" w:eastAsia="zh-CN"/>
        </w:rPr>
        <w:t>数据分块和内存优化</w:t>
      </w:r>
      <w:r>
        <w:rPr>
          <w:rFonts w:hint="eastAsia"/>
        </w:rPr>
        <w:t>策略</w:t>
      </w:r>
    </w:p>
    <w:p w14:paraId="778F110C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充分使用UB空间的原则。</w:t>
      </w:r>
    </w:p>
    <w:p w14:paraId="5FB5F8B0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需要考虑不同硬件的UB大小不同、是否开启double buffer、kernel侧API实现过程中是否需要临时数据的储存，综合考虑单核内切分的大小。</w:t>
      </w:r>
    </w:p>
    <w:p w14:paraId="4B7231D6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UB内存大小获取：通过GetCoreMemSize函数获取UB内存的大小，用于后续的数据切分计算。</w:t>
      </w:r>
    </w:p>
    <w:p w14:paraId="554492B7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Tile块计算：根据UB内存大小和预定义的BLOCK_SIZE及BUFFER_NUM，计算出每个Tile块的数据数量。</w:t>
      </w:r>
    </w:p>
    <w:p w14:paraId="3712885D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数据切分：将输入数据按照计算出的Tile块大小进行切分，计算出每个core需要处理的数据块数量和最后一个block的剩余数据量。</w:t>
      </w:r>
    </w:p>
    <w:p w14:paraId="730E2CE4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设置切分参数：将计算出的切分参数（如每个core的数据量、Tile块大小等）设置到AddcdivTilingData对象中。</w:t>
      </w:r>
    </w:p>
    <w:p w14:paraId="07B34E7E">
      <w:pP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napToGrid w:val="0"/>
          <w:sz w:val="21"/>
          <w:szCs w:val="21"/>
          <w:lang w:val="en-US" w:eastAsia="zh-CN" w:bidi="ar-SA"/>
        </w:rPr>
        <w:t>这些策略确保了数据在多个核心之间的均匀分布，并且在单个核心内进行了合理的切分，以提高并行处理的效率。</w:t>
      </w:r>
    </w:p>
    <w:p w14:paraId="282C62E8">
      <w:pPr>
        <w:pStyle w:val="35"/>
        <w:numPr>
          <w:ilvl w:val="0"/>
          <w:numId w:val="4"/>
        </w:numPr>
        <w:ind w:firstLineChars="0"/>
      </w:pPr>
      <w:r>
        <w:rPr>
          <w:rFonts w:hint="eastAsia"/>
        </w:rPr>
        <w:t>tilingkey规划策略</w:t>
      </w:r>
    </w:p>
    <w:p w14:paraId="508D284D">
      <w:pPr>
        <w:pStyle w:val="35"/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需要tilingkey的情况：需要感知host侧信息对kernel侧走不同分支。</w:t>
      </w:r>
      <w:r>
        <w:rPr>
          <w:rFonts w:hint="eastAsia"/>
          <w:lang w:val="en-US" w:eastAsia="zh-CN"/>
        </w:rPr>
        <w:t>在host侧获取value输入的大小，如果value为单值tilingkey为0(只对input_data、x1、x2三个输入进行广播)，否则tilingkey为1(所有输入均进行广播)。</w:t>
      </w:r>
    </w:p>
    <w:p w14:paraId="10EECBF5">
      <w:pPr>
        <w:rPr>
          <w:rFonts w:hint="eastAsia"/>
          <w:lang w:val="en-US" w:eastAsia="zh-CN"/>
        </w:rPr>
      </w:pPr>
    </w:p>
    <w:p w14:paraId="649CE140">
      <w:r>
        <w:rPr>
          <w:rFonts w:hint="eastAsia"/>
          <w:b/>
          <w:bCs/>
        </w:rPr>
        <w:t>数据检测</w:t>
      </w:r>
      <w:r>
        <w:rPr>
          <w:rFonts w:hint="eastAsia"/>
        </w:rPr>
        <w:t>：</w:t>
      </w:r>
    </w:p>
    <w:p w14:paraId="51BBE26D"/>
    <w:p w14:paraId="30E528D2">
      <w:r>
        <w:rPr>
          <w:rFonts w:hint="eastAsia"/>
        </w:rPr>
        <w:t>对不支持AscendC::Cast()bfloat16向float32转换的硬件进行直接在tiling策略时返回</w:t>
      </w:r>
      <w:r>
        <w:t>Get Operator Workspace failed. error code is 561002</w:t>
      </w:r>
      <w:r>
        <w:rPr>
          <w:rFonts w:hint="eastAsia"/>
        </w:rPr>
        <w:t xml:space="preserve">报错。  </w:t>
      </w:r>
    </w:p>
    <w:p w14:paraId="334C8748"/>
    <w:p w14:paraId="5DD152BD">
      <w:pPr>
        <w:rPr>
          <w:b/>
          <w:bCs/>
        </w:rPr>
      </w:pPr>
      <w:r>
        <w:rPr>
          <w:rFonts w:hint="eastAsia"/>
          <w:b/>
          <w:bCs/>
        </w:rPr>
        <w:t>3.2.2 kernel侧设计：</w:t>
      </w:r>
    </w:p>
    <w:p w14:paraId="182F395C">
      <w:r>
        <w:rPr>
          <w:rFonts w:hint="eastAsia"/>
        </w:rPr>
        <w:t>进行Init和</w:t>
      </w:r>
      <w:r>
        <w:t>Process</w:t>
      </w:r>
      <w:r>
        <w:rPr>
          <w:rFonts w:hint="eastAsia"/>
        </w:rPr>
        <w:t>两个阶段，其中</w:t>
      </w:r>
      <w:r>
        <w:t>Process</w:t>
      </w:r>
      <w:r>
        <w:rPr>
          <w:rFonts w:hint="eastAsia"/>
        </w:rPr>
        <w:t>包括数据搬入（CopyIn）、计算（</w:t>
      </w:r>
      <w:r>
        <w:t>Compute</w:t>
      </w:r>
      <w:r>
        <w:rPr>
          <w:rFonts w:hint="eastAsia"/>
        </w:rPr>
        <w:t>）、搬出（</w:t>
      </w:r>
      <w:r>
        <w:t>CopyOut</w:t>
      </w:r>
      <w:r>
        <w:rPr>
          <w:rFonts w:hint="eastAsia"/>
        </w:rPr>
        <w:t>）三个阶段。</w:t>
      </w:r>
    </w:p>
    <w:p w14:paraId="6F6D59B8">
      <w:pPr>
        <w:pStyle w:val="35"/>
        <w:numPr>
          <w:ilvl w:val="0"/>
          <w:numId w:val="5"/>
        </w:numPr>
        <w:ind w:firstLineChars="0"/>
      </w:pPr>
      <w:r>
        <w:rPr>
          <w:rFonts w:hint="eastAsia"/>
        </w:rPr>
        <w:t>由于支持Ascend C开发的硬件中AscendC::</w:t>
      </w:r>
      <w:r>
        <w:rPr>
          <w:rFonts w:hint="eastAsia"/>
          <w:lang w:val="en-US" w:eastAsia="zh-CN"/>
        </w:rPr>
        <w:t>Addcdiv</w:t>
      </w:r>
      <w:r>
        <w:rPr>
          <w:rFonts w:hint="eastAsia"/>
        </w:rPr>
        <w:t>支持</w:t>
      </w:r>
      <w:r>
        <w:rPr>
          <w:rFonts w:hint="eastAsia"/>
          <w:lang w:val="en-US" w:eastAsia="zh-CN"/>
        </w:rPr>
        <w:t>float16、</w:t>
      </w:r>
      <w:r>
        <w:rPr>
          <w:rFonts w:hint="eastAsia"/>
        </w:rPr>
        <w:t>float32</w:t>
      </w:r>
      <w:r>
        <w:rPr>
          <w:rFonts w:hint="eastAsia"/>
          <w:lang w:val="en-US" w:eastAsia="zh-CN"/>
        </w:rPr>
        <w:t>和int32</w:t>
      </w:r>
      <w:r>
        <w:rPr>
          <w:rFonts w:hint="eastAsia"/>
        </w:rPr>
        <w:t>数据的输入，可以直接将bfloat16的数据都转成float32进行计算，</w:t>
      </w:r>
      <w:r>
        <w:rPr>
          <w:rFonts w:hint="eastAsia"/>
          <w:lang w:val="en-US" w:eastAsia="zh-CN"/>
        </w:rPr>
        <w:t>其余数据</w:t>
      </w:r>
      <w:r>
        <w:rPr>
          <w:rFonts w:hint="eastAsia"/>
        </w:rPr>
        <w:t>类型保持原类型计算。</w:t>
      </w:r>
    </w:p>
    <w:p w14:paraId="3316B257">
      <w:pPr>
        <w:pStyle w:val="35"/>
        <w:numPr>
          <w:ilvl w:val="0"/>
          <w:numId w:val="5"/>
        </w:numPr>
        <w:ind w:firstLineChars="0"/>
      </w:pPr>
      <w:r>
        <w:rPr>
          <w:rFonts w:hint="eastAsia"/>
          <w:lang w:val="en-US" w:eastAsia="zh-CN"/>
        </w:rPr>
        <w:t>在kernel侧的copyin阶段完成广播数据的填充，首先获取host侧存储各个输入shape的一维数组以及按照广播规则获得的最终广播shape，通过特定的函数完成指定数组元素的地址映射。</w:t>
      </w:r>
    </w:p>
    <w:p w14:paraId="1B888A1E">
      <w:pPr>
        <w:pStyle w:val="35"/>
        <w:numPr>
          <w:ilvl w:val="0"/>
          <w:numId w:val="5"/>
        </w:numPr>
        <w:ind w:firstLineChars="0"/>
      </w:pPr>
      <w:r>
        <w:rPr>
          <w:rFonts w:hint="eastAsia"/>
          <w:lang w:val="en-US" w:eastAsia="zh-CN"/>
        </w:rPr>
        <w:t>根据不同的tilingkey执行不同的核函数。</w:t>
      </w:r>
    </w:p>
    <w:p w14:paraId="5B6F9E2B">
      <w:pPr>
        <w:pStyle w:val="35"/>
        <w:numPr>
          <w:ilvl w:val="0"/>
          <w:numId w:val="5"/>
        </w:numPr>
        <w:ind w:firstLineChars="0"/>
      </w:pPr>
      <w:r>
        <w:rPr>
          <w:rFonts w:hint="eastAsia"/>
        </w:rPr>
        <w:t>Ascend C的</w:t>
      </w:r>
      <w:r>
        <w:rPr>
          <w:rFonts w:hint="eastAsia"/>
          <w:lang w:val="en-US" w:eastAsia="zh-CN"/>
        </w:rPr>
        <w:t>Addcdiv</w:t>
      </w:r>
      <w:r>
        <w:rPr>
          <w:rFonts w:hint="eastAsia"/>
        </w:rPr>
        <w:t>算子流程见下图。</w:t>
      </w:r>
    </w:p>
    <w:p w14:paraId="057CC268">
      <w:pPr>
        <w:pStyle w:val="13"/>
        <w:shd w:val="clear" w:color="auto" w:fill="FFFFFF"/>
        <w:spacing w:before="0" w:beforeAutospacing="0" w:after="312" w:afterAutospacing="0"/>
        <w:rPr>
          <w:rFonts w:hint="eastAsia" w:ascii="Times New Roman" w:hAnsi="Times New Roman" w:cs="Times New Roman"/>
          <w:color w:val="494949"/>
          <w:lang w:val="en-US" w:eastAsia="zh-CN"/>
        </w:rPr>
      </w:pPr>
      <w:r>
        <w:rPr>
          <w:rFonts w:hint="eastAsia" w:ascii="Times New Roman" w:hAnsi="Times New Roman" w:cs="Times New Roman"/>
          <w:color w:val="494949"/>
          <w:lang w:val="en-US" w:eastAsia="zh-CN"/>
        </w:rPr>
        <w:drawing>
          <wp:inline distT="0" distB="0" distL="114300" distR="114300">
            <wp:extent cx="5274310" cy="6604635"/>
            <wp:effectExtent l="0" t="0" r="6350" b="3175"/>
            <wp:docPr id="1" name="图片 1" descr="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除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A71E">
      <w:pPr>
        <w:pStyle w:val="13"/>
        <w:shd w:val="clear" w:color="auto" w:fill="FFFFFF"/>
        <w:spacing w:before="0" w:beforeAutospacing="0" w:after="312" w:afterAutospacing="0"/>
        <w:rPr>
          <w:rFonts w:ascii="Huawei Sans" w:hAnsi="Huawei Sans"/>
          <w:color w:val="494949"/>
        </w:rPr>
      </w:pPr>
    </w:p>
    <w:p w14:paraId="5DC32734">
      <w:pPr>
        <w:pStyle w:val="13"/>
        <w:shd w:val="clear" w:color="auto" w:fill="FFFFFF"/>
        <w:spacing w:before="0" w:beforeAutospacing="0" w:after="312" w:afterAutospacing="0"/>
        <w:rPr>
          <w:rFonts w:ascii="Huawei Sans" w:hAnsi="Huawei Sans"/>
          <w:color w:val="494949"/>
        </w:rPr>
      </w:pPr>
    </w:p>
    <w:p w14:paraId="3673ED5D">
      <w:pPr>
        <w:pStyle w:val="3"/>
        <w:shd w:val="clear" w:color="auto" w:fill="FFFFFF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支持硬件</w:t>
      </w:r>
    </w:p>
    <w:tbl>
      <w:tblPr>
        <w:tblStyle w:val="14"/>
        <w:tblW w:w="5235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27"/>
        <w:gridCol w:w="2108"/>
      </w:tblGrid>
      <w:tr w14:paraId="258CCAA8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312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0AE25277">
            <w:pPr>
              <w:spacing w:line="420" w:lineRule="atLeast"/>
              <w:jc w:val="center"/>
              <w:rPr>
                <w:rStyle w:val="17"/>
                <w:rFonts w:hint="eastAsia" w:ascii="Huawei Sans" w:hAnsi="Huawei Sans" w:eastAsia="微软雅黑"/>
                <w:color w:val="494949"/>
              </w:rPr>
            </w:pPr>
            <w:r>
              <w:rPr>
                <w:rStyle w:val="17"/>
                <w:rFonts w:hint="eastAsia" w:ascii="Huawei Sans" w:hAnsi="Huawei Sans" w:eastAsia="微软雅黑"/>
                <w:color w:val="494949"/>
              </w:rPr>
              <w:t>支持的芯片版本</w:t>
            </w:r>
          </w:p>
        </w:tc>
        <w:tc>
          <w:tcPr>
            <w:tcW w:w="21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676845CC">
            <w:pPr>
              <w:spacing w:line="420" w:lineRule="atLeast"/>
              <w:jc w:val="center"/>
              <w:rPr>
                <w:rStyle w:val="17"/>
                <w:rFonts w:hint="eastAsia" w:ascii="Huawei Sans" w:hAnsi="Huawei Sans" w:eastAsia="微软雅黑"/>
                <w:color w:val="494949"/>
              </w:rPr>
            </w:pPr>
            <w:r>
              <w:rPr>
                <w:rStyle w:val="17"/>
                <w:rFonts w:hint="eastAsia" w:ascii="Huawei Sans" w:hAnsi="Huawei Sans" w:eastAsia="微软雅黑"/>
                <w:color w:val="494949"/>
              </w:rPr>
              <w:t>涉及勾选</w:t>
            </w:r>
          </w:p>
        </w:tc>
      </w:tr>
      <w:tr w14:paraId="08361B57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20010ACE">
            <w:pPr>
              <w:spacing w:line="420" w:lineRule="atLeast"/>
              <w:rPr>
                <w:rFonts w:hint="eastAsia"/>
              </w:rPr>
            </w:pPr>
            <w:r>
              <w:rPr>
                <w:rFonts w:hint="eastAsia" w:ascii="Huawei Sans" w:hAnsi="Huawei Sans" w:eastAsia="微软雅黑"/>
                <w:color w:val="494949"/>
              </w:rPr>
              <w:t>香橙派OrangePi AIpro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273676D9">
            <w:pPr>
              <w:spacing w:line="420" w:lineRule="atLeast"/>
              <w:rPr>
                <w:rFonts w:hint="eastAsia"/>
              </w:rPr>
            </w:pPr>
          </w:p>
        </w:tc>
      </w:tr>
      <w:tr w14:paraId="142EA1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41BC6548">
            <w:pPr>
              <w:spacing w:line="420" w:lineRule="atLeast"/>
              <w:rPr>
                <w:rFonts w:hint="eastAsia"/>
              </w:rPr>
            </w:pPr>
            <w:r>
              <w:rPr>
                <w:rFonts w:hint="eastAsia" w:ascii="Huawei Sans" w:hAnsi="Huawei Sans" w:eastAsia="微软雅黑" w:cs="宋体"/>
                <w:color w:val="494949"/>
              </w:rPr>
              <w:t>Atlas 200I/500 A2推理产品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08FC7BD5">
            <w:pPr>
              <w:spacing w:line="420" w:lineRule="atLeast"/>
              <w:rPr>
                <w:rFonts w:hint="eastAsia"/>
              </w:rPr>
            </w:pPr>
          </w:p>
        </w:tc>
      </w:tr>
      <w:tr w14:paraId="1CDDBD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127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2897629B">
            <w:pPr>
              <w:spacing w:line="420" w:lineRule="atLeast"/>
              <w:rPr>
                <w:rFonts w:hint="eastAsia"/>
              </w:rPr>
            </w:pPr>
            <w:r>
              <w:rPr>
                <w:rFonts w:hint="eastAsia" w:ascii="Huawei Sans" w:hAnsi="Huawei Sans" w:eastAsia="微软雅黑"/>
                <w:color w:val="494949"/>
              </w:rPr>
              <w:t>Atlas</w:t>
            </w:r>
            <w:r>
              <w:rPr>
                <w:rFonts w:ascii="Huawei Sans" w:hAnsi="Huawei Sans" w:eastAsia="微软雅黑"/>
                <w:color w:val="494949"/>
              </w:rPr>
              <w:t xml:space="preserve"> 800</w:t>
            </w:r>
            <w:r>
              <w:rPr>
                <w:rFonts w:hint="eastAsia" w:ascii="Huawei Sans" w:hAnsi="Huawei Sans" w:eastAsia="微软雅黑"/>
                <w:color w:val="494949"/>
              </w:rPr>
              <w:t>I</w:t>
            </w:r>
            <w:r>
              <w:rPr>
                <w:rFonts w:ascii="Huawei Sans" w:hAnsi="Huawei Sans" w:eastAsia="微软雅黑"/>
                <w:color w:val="494949"/>
              </w:rPr>
              <w:t xml:space="preserve">/T </w:t>
            </w:r>
            <w:r>
              <w:rPr>
                <w:rFonts w:hint="eastAsia" w:ascii="Huawei Sans" w:hAnsi="Huawei Sans" w:eastAsia="微软雅黑"/>
                <w:color w:val="494949"/>
              </w:rPr>
              <w:t>A</w:t>
            </w:r>
            <w:r>
              <w:rPr>
                <w:rFonts w:ascii="Huawei Sans" w:hAnsi="Huawei Sans" w:eastAsia="微软雅黑"/>
                <w:color w:val="494949"/>
              </w:rPr>
              <w:t>2</w:t>
            </w:r>
          </w:p>
        </w:tc>
        <w:tc>
          <w:tcPr>
            <w:tcW w:w="210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732573A7">
            <w:pPr>
              <w:spacing w:line="420" w:lineRule="atLeast"/>
              <w:rPr>
                <w:rFonts w:hint="eastAsia"/>
              </w:rPr>
            </w:pPr>
            <w:r>
              <w:rPr>
                <w:rFonts w:hint="eastAsia" w:ascii="Huawei Sans" w:hAnsi="Huawei Sans" w:eastAsia="微软雅黑"/>
                <w:color w:val="494949"/>
              </w:rPr>
              <w:t>√</w:t>
            </w:r>
          </w:p>
        </w:tc>
      </w:tr>
    </w:tbl>
    <w:p w14:paraId="691521E7">
      <w:pPr>
        <w:pStyle w:val="3"/>
        <w:shd w:val="clear" w:color="auto" w:fill="FFFFFF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算子约束限制</w:t>
      </w:r>
    </w:p>
    <w:p w14:paraId="634EC7A7">
      <w:pPr>
        <w:rPr>
          <w:rFonts w:hint="default"/>
          <w:lang w:val="en-US"/>
        </w:rPr>
      </w:pPr>
      <w:r>
        <w:rPr>
          <w:rFonts w:hint="eastAsia" w:ascii="微软雅黑" w:hAnsi="微软雅黑" w:eastAsia="微软雅黑"/>
          <w:lang w:val="en-US" w:eastAsia="zh-CN"/>
        </w:rPr>
        <w:t>不支持广播。</w:t>
      </w:r>
      <w:bookmarkStart w:id="0" w:name="_GoBack"/>
      <w:bookmarkEnd w:id="0"/>
    </w:p>
    <w:p w14:paraId="7E921887">
      <w:pPr>
        <w:pStyle w:val="2"/>
        <w:shd w:val="clear" w:color="auto" w:fill="FFFFFF"/>
        <w:rPr>
          <w:rFonts w:ascii="Huawei Sans" w:hAnsi="Huawei Sans"/>
          <w:color w:val="494949"/>
        </w:rPr>
      </w:pPr>
      <w:r>
        <w:rPr>
          <w:rFonts w:hint="eastAsia" w:ascii="微软雅黑" w:hAnsi="微软雅黑" w:eastAsia="微软雅黑"/>
          <w:sz w:val="28"/>
          <w:szCs w:val="28"/>
        </w:rPr>
        <w:t>特性交叉分析</w:t>
      </w:r>
    </w:p>
    <w:p w14:paraId="1B7ED85E">
      <w:pPr>
        <w:pStyle w:val="2"/>
        <w:shd w:val="clear" w:color="auto" w:fill="FFFFFF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可维可测分析</w:t>
      </w:r>
    </w:p>
    <w:p w14:paraId="14B80AD1">
      <w:pPr>
        <w:pStyle w:val="3"/>
        <w:shd w:val="clear" w:color="auto" w:fill="FFFFFF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精度标准/性能标准</w:t>
      </w:r>
    </w:p>
    <w:tbl>
      <w:tblPr>
        <w:tblStyle w:val="14"/>
        <w:tblW w:w="9064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9"/>
        <w:gridCol w:w="3544"/>
        <w:gridCol w:w="2551"/>
      </w:tblGrid>
      <w:tr w14:paraId="2B187B66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96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31362AF4">
            <w:pPr>
              <w:rPr>
                <w:rStyle w:val="17"/>
                <w:rFonts w:hint="eastAsia" w:ascii="Huawei Sans" w:hAnsi="Huawei Sans" w:eastAsia="微软雅黑"/>
                <w:color w:val="494949"/>
              </w:rPr>
            </w:pPr>
            <w:r>
              <w:rPr>
                <w:rStyle w:val="17"/>
                <w:rFonts w:ascii="Huawei Sans" w:hAnsi="Huawei Sans" w:eastAsia="微软雅黑"/>
                <w:color w:val="494949"/>
              </w:rPr>
              <w:t>验收标准</w:t>
            </w:r>
          </w:p>
        </w:tc>
        <w:tc>
          <w:tcPr>
            <w:tcW w:w="3544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303F60AE">
            <w:pPr>
              <w:rPr>
                <w:rStyle w:val="17"/>
                <w:rFonts w:ascii="Huawei Sans" w:hAnsi="Huawei Sans" w:eastAsia="微软雅黑"/>
                <w:color w:val="494949"/>
              </w:rPr>
            </w:pPr>
            <w:r>
              <w:rPr>
                <w:rStyle w:val="17"/>
                <w:rFonts w:ascii="Huawei Sans" w:hAnsi="Huawei Sans" w:eastAsia="微软雅黑"/>
                <w:color w:val="494949"/>
              </w:rPr>
              <w:t>描述(不涉及说明原因)</w:t>
            </w:r>
          </w:p>
        </w:tc>
        <w:tc>
          <w:tcPr>
            <w:tcW w:w="255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AFBFC"/>
            <w:noWrap/>
            <w:vAlign w:val="center"/>
          </w:tcPr>
          <w:p w14:paraId="39C0ACA1">
            <w:pPr>
              <w:rPr>
                <w:rStyle w:val="17"/>
                <w:rFonts w:ascii="Huawei Sans" w:hAnsi="Huawei Sans" w:eastAsia="微软雅黑"/>
                <w:color w:val="494949"/>
              </w:rPr>
            </w:pPr>
            <w:r>
              <w:rPr>
                <w:rStyle w:val="17"/>
                <w:rFonts w:ascii="Huawei Sans" w:hAnsi="Huawei Sans" w:eastAsia="微软雅黑"/>
                <w:color w:val="494949"/>
              </w:rPr>
              <w:t>标准来源</w:t>
            </w:r>
          </w:p>
        </w:tc>
      </w:tr>
      <w:tr w14:paraId="73D1B7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2EB69D05">
            <w:r>
              <w:t>精度标准</w:t>
            </w:r>
          </w:p>
        </w:tc>
        <w:tc>
          <w:tcPr>
            <w:tcW w:w="3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5B1FAFAF">
            <w:pPr>
              <w:rPr>
                <w:rFonts w:hint="eastAsia"/>
              </w:rPr>
            </w:pPr>
            <w:r>
              <w:rPr>
                <w:rFonts w:hint="eastAsia"/>
              </w:rPr>
              <w:t>不低于TBE版本</w:t>
            </w:r>
          </w:p>
        </w:tc>
        <w:tc>
          <w:tcPr>
            <w:tcW w:w="2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AFBFC"/>
            <w:noWrap/>
            <w:vAlign w:val="center"/>
          </w:tcPr>
          <w:p w14:paraId="0C50D8B6"/>
        </w:tc>
      </w:tr>
      <w:tr w14:paraId="2511A1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6DD9A047">
            <w:r>
              <w:t>性能标准</w:t>
            </w:r>
          </w:p>
        </w:tc>
        <w:tc>
          <w:tcPr>
            <w:tcW w:w="3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7FD1E472">
            <w:pPr>
              <w:rPr>
                <w:rFonts w:hint="eastAsia"/>
              </w:rPr>
            </w:pPr>
            <w:r>
              <w:rPr>
                <w:rFonts w:hint="eastAsia"/>
              </w:rPr>
              <w:t>不低于TBE版本</w:t>
            </w:r>
          </w:p>
        </w:tc>
        <w:tc>
          <w:tcPr>
            <w:tcW w:w="255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vAlign w:val="center"/>
          </w:tcPr>
          <w:p w14:paraId="4F258B37"/>
        </w:tc>
      </w:tr>
    </w:tbl>
    <w:p w14:paraId="721257DE">
      <w:pPr>
        <w:pStyle w:val="3"/>
        <w:shd w:val="clear" w:color="auto" w:fill="FFFFFF"/>
        <w:rPr>
          <w:rFonts w:ascii="微软雅黑" w:hAnsi="微软雅黑" w:eastAsia="微软雅黑" w:cs="宋体"/>
        </w:rPr>
      </w:pPr>
      <w:r>
        <w:rPr>
          <w:rFonts w:hint="eastAsia" w:ascii="微软雅黑" w:hAnsi="微软雅黑" w:eastAsia="微软雅黑"/>
        </w:rPr>
        <w:t>兼容性分析</w:t>
      </w:r>
    </w:p>
    <w:p w14:paraId="535A544D">
      <w:pPr>
        <w:pStyle w:val="13"/>
      </w:pPr>
      <w:r>
        <w:t>新算子，不涉及兼容性分析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12" w:right="1800" w:bottom="1440" w:left="1800" w:header="779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Dotum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5005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03"/>
      <w:gridCol w:w="2924"/>
      <w:gridCol w:w="2604"/>
    </w:tblGrid>
    <w:tr w14:paraId="44A62957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57" w:hRule="atLeast"/>
      </w:trPr>
      <w:tc>
        <w:tcPr>
          <w:tcW w:w="1760" w:type="pct"/>
        </w:tcPr>
        <w:p w14:paraId="6CA27ECA">
          <w:pPr>
            <w:pStyle w:val="8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>
            <w:t>2025-10-20</w:t>
          </w:r>
          <w:r>
            <w:fldChar w:fldCharType="end"/>
          </w:r>
        </w:p>
      </w:tc>
      <w:tc>
        <w:tcPr>
          <w:tcW w:w="1714" w:type="pct"/>
        </w:tcPr>
        <w:p w14:paraId="733E8604">
          <w:pPr>
            <w:pStyle w:val="8"/>
          </w:pPr>
          <w:r>
            <w:rPr>
              <w:rFonts w:hint="eastAsia"/>
            </w:rPr>
            <w:t>华为保密信息,未经授权禁止扩散</w:t>
          </w:r>
        </w:p>
      </w:tc>
      <w:tc>
        <w:tcPr>
          <w:tcW w:w="1526" w:type="pct"/>
        </w:tcPr>
        <w:p w14:paraId="40484DE5">
          <w:pPr>
            <w:pStyle w:val="8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587320E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3CDBE"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8DD84">
    <w:pPr>
      <w:pStyle w:val="8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842"/>
      <w:gridCol w:w="5894"/>
      <w:gridCol w:w="1684"/>
    </w:tblGrid>
    <w:tr w14:paraId="516236FD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82" w:hRule="exact"/>
      </w:trPr>
      <w:tc>
        <w:tcPr>
          <w:tcW w:w="500" w:type="pct"/>
        </w:tcPr>
        <w:p w14:paraId="530CD6AA">
          <w:pPr>
            <w:rPr>
              <w:rFonts w:ascii="Dotum" w:hAnsi="Dotum" w:eastAsia="Dotum"/>
            </w:rPr>
          </w:pPr>
          <w:r>
            <w:rPr>
              <w:rFonts w:hint="eastAsia" w:ascii="宋体" w:hAnsi="宋体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14:paraId="79633101">
          <w:pPr>
            <w:pStyle w:val="9"/>
            <w:ind w:firstLine="540" w:firstLineChars="300"/>
            <w:rPr>
              <w:rFonts w:ascii="宋体" w:hAnsi="宋体"/>
            </w:rPr>
          </w:pPr>
          <w:r>
            <w:rPr>
              <w:rFonts w:hint="eastAsia" w:ascii="宋体" w:hAnsi="宋体"/>
            </w:rPr>
            <w:t>文档名称</w:t>
          </w:r>
        </w:p>
      </w:tc>
      <w:tc>
        <w:tcPr>
          <w:tcW w:w="1000" w:type="pct"/>
          <w:vAlign w:val="bottom"/>
        </w:tcPr>
        <w:p w14:paraId="51B3A364">
          <w:pPr>
            <w:pStyle w:val="9"/>
            <w:ind w:firstLine="630" w:firstLineChars="350"/>
            <w:rPr>
              <w:rFonts w:ascii="宋体" w:hAnsi="宋体"/>
            </w:rPr>
          </w:pPr>
          <w:r>
            <w:rPr>
              <w:rFonts w:hint="eastAsia" w:ascii="宋体" w:hAnsi="宋体"/>
            </w:rPr>
            <w:t>文档密级</w:t>
          </w:r>
        </w:p>
      </w:tc>
    </w:tr>
  </w:tbl>
  <w:p w14:paraId="60D896A6">
    <w:pPr>
      <w:pStyle w:val="9"/>
      <w:rPr>
        <w:rFonts w:ascii="DotumChe" w:hAnsi="DotumChe" w:eastAsia="DotumCh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544AF"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34029">
    <w:pPr>
      <w:pStyle w:val="9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0D41A9"/>
    <w:multiLevelType w:val="multilevel"/>
    <w:tmpl w:val="0E0D41A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1">
    <w:nsid w:val="41F34BCB"/>
    <w:multiLevelType w:val="multilevel"/>
    <w:tmpl w:val="41F34BC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2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2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74A4A00"/>
    <w:multiLevelType w:val="multilevel"/>
    <w:tmpl w:val="674A4A0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3Yzk3Mjg2MjRjZTNlYTYwNzBjMGFjOWIyZjI1YWEifQ=="/>
  </w:docVars>
  <w:rsids>
    <w:rsidRoot w:val="007162BA"/>
    <w:rsid w:val="00035469"/>
    <w:rsid w:val="0012175A"/>
    <w:rsid w:val="00152B8F"/>
    <w:rsid w:val="00225378"/>
    <w:rsid w:val="00297C48"/>
    <w:rsid w:val="003055E4"/>
    <w:rsid w:val="003073D0"/>
    <w:rsid w:val="00307760"/>
    <w:rsid w:val="00311086"/>
    <w:rsid w:val="00322719"/>
    <w:rsid w:val="00425F62"/>
    <w:rsid w:val="00435097"/>
    <w:rsid w:val="0052233A"/>
    <w:rsid w:val="00634265"/>
    <w:rsid w:val="006D6C32"/>
    <w:rsid w:val="007162BA"/>
    <w:rsid w:val="00722577"/>
    <w:rsid w:val="0075012D"/>
    <w:rsid w:val="00775BB5"/>
    <w:rsid w:val="00780144"/>
    <w:rsid w:val="00783187"/>
    <w:rsid w:val="007A6F63"/>
    <w:rsid w:val="0080530B"/>
    <w:rsid w:val="009006AA"/>
    <w:rsid w:val="00A5175E"/>
    <w:rsid w:val="00C53AFA"/>
    <w:rsid w:val="00C97D52"/>
    <w:rsid w:val="00D16C4C"/>
    <w:rsid w:val="00D356D8"/>
    <w:rsid w:val="00D87114"/>
    <w:rsid w:val="00EE2438"/>
    <w:rsid w:val="00EE58DB"/>
    <w:rsid w:val="00FD52B5"/>
    <w:rsid w:val="00FF77C6"/>
    <w:rsid w:val="01034EC1"/>
    <w:rsid w:val="02A77477"/>
    <w:rsid w:val="039A3A70"/>
    <w:rsid w:val="06C54CB0"/>
    <w:rsid w:val="06FF2732"/>
    <w:rsid w:val="0774295E"/>
    <w:rsid w:val="07795951"/>
    <w:rsid w:val="09D8354C"/>
    <w:rsid w:val="0A187F18"/>
    <w:rsid w:val="0A662D47"/>
    <w:rsid w:val="0A821835"/>
    <w:rsid w:val="0B7A69B0"/>
    <w:rsid w:val="0BF63052"/>
    <w:rsid w:val="0F607C6B"/>
    <w:rsid w:val="0F8266D9"/>
    <w:rsid w:val="107677D9"/>
    <w:rsid w:val="10E31443"/>
    <w:rsid w:val="137A2D83"/>
    <w:rsid w:val="138F28CD"/>
    <w:rsid w:val="15C35CF3"/>
    <w:rsid w:val="16787354"/>
    <w:rsid w:val="19807DC9"/>
    <w:rsid w:val="1A7867B1"/>
    <w:rsid w:val="1A9829AF"/>
    <w:rsid w:val="1B281F85"/>
    <w:rsid w:val="1D9E604A"/>
    <w:rsid w:val="1E866B15"/>
    <w:rsid w:val="1EFD1033"/>
    <w:rsid w:val="1FE612D2"/>
    <w:rsid w:val="21C505B5"/>
    <w:rsid w:val="228523E2"/>
    <w:rsid w:val="22D27DF3"/>
    <w:rsid w:val="28A65821"/>
    <w:rsid w:val="28D9041B"/>
    <w:rsid w:val="28DF17A9"/>
    <w:rsid w:val="29B36FC7"/>
    <w:rsid w:val="2BD960B0"/>
    <w:rsid w:val="2CB34E46"/>
    <w:rsid w:val="2CCB63FE"/>
    <w:rsid w:val="2D40250E"/>
    <w:rsid w:val="2E405D27"/>
    <w:rsid w:val="2EA9088F"/>
    <w:rsid w:val="2F032008"/>
    <w:rsid w:val="30E97ADA"/>
    <w:rsid w:val="3316226B"/>
    <w:rsid w:val="33A87724"/>
    <w:rsid w:val="35CC2DD5"/>
    <w:rsid w:val="36C3242E"/>
    <w:rsid w:val="36C626E3"/>
    <w:rsid w:val="37AD6536"/>
    <w:rsid w:val="38A821E7"/>
    <w:rsid w:val="396F2181"/>
    <w:rsid w:val="3B924658"/>
    <w:rsid w:val="3CE138EA"/>
    <w:rsid w:val="3D293205"/>
    <w:rsid w:val="3D2C2220"/>
    <w:rsid w:val="406F78BB"/>
    <w:rsid w:val="418E7D2E"/>
    <w:rsid w:val="41E77C8C"/>
    <w:rsid w:val="45112FEA"/>
    <w:rsid w:val="452F6FF9"/>
    <w:rsid w:val="462F55E2"/>
    <w:rsid w:val="48710EB8"/>
    <w:rsid w:val="49341D31"/>
    <w:rsid w:val="497A30FC"/>
    <w:rsid w:val="49BA72D1"/>
    <w:rsid w:val="4A7C7C0D"/>
    <w:rsid w:val="4D6251F8"/>
    <w:rsid w:val="4E0336C0"/>
    <w:rsid w:val="4EC63E32"/>
    <w:rsid w:val="4EFD5288"/>
    <w:rsid w:val="4FB010F7"/>
    <w:rsid w:val="501E6ED7"/>
    <w:rsid w:val="50681F66"/>
    <w:rsid w:val="55BA680E"/>
    <w:rsid w:val="57C63DAC"/>
    <w:rsid w:val="584E019A"/>
    <w:rsid w:val="5C735EB5"/>
    <w:rsid w:val="60C278DB"/>
    <w:rsid w:val="667E0F44"/>
    <w:rsid w:val="690C3A2E"/>
    <w:rsid w:val="6D286582"/>
    <w:rsid w:val="6E76496C"/>
    <w:rsid w:val="6EBA3E17"/>
    <w:rsid w:val="71B2486A"/>
    <w:rsid w:val="72E1326F"/>
    <w:rsid w:val="72EC0317"/>
    <w:rsid w:val="756B3942"/>
    <w:rsid w:val="766E7155"/>
    <w:rsid w:val="7753605F"/>
    <w:rsid w:val="77855149"/>
    <w:rsid w:val="7B0B1AFD"/>
    <w:rsid w:val="7D6C55CD"/>
    <w:rsid w:val="7DB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qFormat="1" w:uiPriority="99" w:name="HTML Code"/>
    <w:lsdException w:uiPriority="0" w:name="HTML Definition"/>
    <w:lsdException w:uiPriority="0" w:name="HTML Keyboard"/>
    <w:lsdException w:qFormat="1" w:uiPriority="99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Times New Roman" w:hAnsi="Times New Roman" w:eastAsia="宋体" w:cs="Times New Roman"/>
      <w:snapToGrid w:val="0"/>
      <w:sz w:val="21"/>
      <w:szCs w:val="21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5">
    <w:name w:val="heading 4"/>
    <w:basedOn w:val="1"/>
    <w:next w:val="1"/>
    <w:link w:val="3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widowControl/>
      <w:autoSpaceDE/>
      <w:autoSpaceDN/>
      <w:adjustRightInd/>
      <w:spacing w:after="100" w:line="259" w:lineRule="auto"/>
      <w:ind w:left="440"/>
    </w:pPr>
    <w:rPr>
      <w:rFonts w:asciiTheme="minorHAnsi" w:hAnsiTheme="minorHAnsi" w:eastAsiaTheme="minorEastAsia"/>
      <w:snapToGrid/>
      <w:sz w:val="22"/>
      <w:szCs w:val="22"/>
    </w:rPr>
  </w:style>
  <w:style w:type="paragraph" w:styleId="7">
    <w:name w:val="Balloon Text"/>
    <w:basedOn w:val="1"/>
    <w:link w:val="34"/>
    <w:qFormat/>
    <w:uiPriority w:val="0"/>
    <w:pPr>
      <w:spacing w:line="240" w:lineRule="auto"/>
    </w:pPr>
    <w:rPr>
      <w:sz w:val="18"/>
      <w:szCs w:val="18"/>
    </w:rPr>
  </w:style>
  <w:style w:type="paragraph" w:styleId="8">
    <w:name w:val="footer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9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10">
    <w:name w:val="toc 1"/>
    <w:basedOn w:val="1"/>
    <w:next w:val="1"/>
    <w:unhideWhenUsed/>
    <w:qFormat/>
    <w:uiPriority w:val="39"/>
    <w:pPr>
      <w:widowControl/>
      <w:autoSpaceDE/>
      <w:autoSpaceDN/>
      <w:adjustRightInd/>
      <w:spacing w:after="100" w:line="259" w:lineRule="auto"/>
    </w:pPr>
    <w:rPr>
      <w:rFonts w:asciiTheme="minorHAnsi" w:hAnsiTheme="minorHAnsi" w:eastAsiaTheme="minorEastAsia"/>
      <w:snapToGrid/>
      <w:sz w:val="22"/>
      <w:szCs w:val="22"/>
    </w:rPr>
  </w:style>
  <w:style w:type="paragraph" w:styleId="11">
    <w:name w:val="toc 2"/>
    <w:basedOn w:val="1"/>
    <w:next w:val="1"/>
    <w:unhideWhenUsed/>
    <w:qFormat/>
    <w:uiPriority w:val="39"/>
    <w:pPr>
      <w:widowControl/>
      <w:autoSpaceDE/>
      <w:autoSpaceDN/>
      <w:adjustRightInd/>
      <w:spacing w:after="100" w:line="259" w:lineRule="auto"/>
      <w:ind w:left="220"/>
    </w:pPr>
    <w:rPr>
      <w:rFonts w:asciiTheme="minorHAnsi" w:hAnsiTheme="minorHAnsi" w:eastAsiaTheme="minorEastAsia"/>
      <w:snapToGrid/>
      <w:sz w:val="22"/>
      <w:szCs w:val="22"/>
    </w:rPr>
  </w:style>
  <w:style w:type="paragraph" w:styleId="12">
    <w:name w:val="HTML Preformatted"/>
    <w:basedOn w:val="1"/>
    <w:link w:val="3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paragraph" w:styleId="13">
    <w:name w:val="Normal (Web)"/>
    <w:basedOn w:val="1"/>
    <w:semiHidden/>
    <w:unhideWhenUsed/>
    <w:qFormat/>
    <w:uiPriority w:val="99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styleId="15">
    <w:name w:val="Table Grid"/>
    <w:basedOn w:val="14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FollowedHyperlink"/>
    <w:basedOn w:val="1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styleId="20">
    <w:name w:val="HTML Code"/>
    <w:basedOn w:val="1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21">
    <w:name w:val="表格题注"/>
    <w:next w:val="1"/>
    <w:qFormat/>
    <w:uiPriority w:val="0"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2">
    <w:name w:val="表格文本"/>
    <w:qFormat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23">
    <w:name w:val="表头文本"/>
    <w:qFormat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table" w:customStyle="1" w:styleId="24">
    <w:name w:val="表样式"/>
    <w:basedOn w:val="14"/>
    <w:qFormat/>
    <w:uiPriority w:val="0"/>
    <w:pPr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25">
    <w:name w:val="插图题注"/>
    <w:next w:val="1"/>
    <w:qFormat/>
    <w:uiPriority w:val="0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6">
    <w:name w:val="图样式"/>
    <w:basedOn w:val="1"/>
    <w:qFormat/>
    <w:uiPriority w:val="0"/>
    <w:pPr>
      <w:keepNext/>
      <w:widowControl/>
      <w:spacing w:before="80" w:after="80"/>
      <w:jc w:val="center"/>
    </w:pPr>
  </w:style>
  <w:style w:type="paragraph" w:customStyle="1" w:styleId="27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paragraph" w:customStyle="1" w:styleId="28">
    <w:name w:val="正文（首行不缩进）"/>
    <w:basedOn w:val="1"/>
    <w:qFormat/>
    <w:uiPriority w:val="0"/>
  </w:style>
  <w:style w:type="paragraph" w:customStyle="1" w:styleId="29">
    <w:name w:val="注示头"/>
    <w:basedOn w:val="1"/>
    <w:qFormat/>
    <w:uiPriority w:val="0"/>
    <w:pPr>
      <w:pBdr>
        <w:top w:val="single" w:color="000000" w:sz="4" w:space="1"/>
      </w:pBdr>
      <w:jc w:val="both"/>
    </w:pPr>
    <w:rPr>
      <w:rFonts w:ascii="Arial" w:hAnsi="Arial" w:eastAsia="黑体"/>
      <w:sz w:val="18"/>
    </w:rPr>
  </w:style>
  <w:style w:type="paragraph" w:customStyle="1" w:styleId="30">
    <w:name w:val="注示文本"/>
    <w:basedOn w:val="1"/>
    <w:qFormat/>
    <w:uiPriority w:val="0"/>
    <w:pPr>
      <w:pBdr>
        <w:bottom w:val="single" w:color="000000" w:sz="4" w:space="1"/>
      </w:pBdr>
      <w:ind w:firstLine="360"/>
      <w:jc w:val="both"/>
    </w:pPr>
    <w:rPr>
      <w:rFonts w:ascii="Arial" w:hAnsi="Arial" w:eastAsia="楷体_GB2312"/>
      <w:sz w:val="18"/>
      <w:szCs w:val="18"/>
    </w:rPr>
  </w:style>
  <w:style w:type="paragraph" w:customStyle="1" w:styleId="31">
    <w:name w:val="编写建议"/>
    <w:basedOn w:val="1"/>
    <w:qFormat/>
    <w:uiPriority w:val="0"/>
    <w:pPr>
      <w:ind w:firstLine="420"/>
    </w:pPr>
    <w:rPr>
      <w:rFonts w:ascii="Arial" w:hAnsi="Arial" w:cs="Arial"/>
      <w:i/>
      <w:color w:val="0000FF"/>
    </w:rPr>
  </w:style>
  <w:style w:type="character" w:customStyle="1" w:styleId="32">
    <w:name w:val="样式一"/>
    <w:basedOn w:val="16"/>
    <w:qFormat/>
    <w:uiPriority w:val="0"/>
    <w:rPr>
      <w:rFonts w:ascii="宋体" w:hAnsi="宋体"/>
      <w:b/>
      <w:bCs/>
      <w:color w:val="000000"/>
      <w:sz w:val="36"/>
    </w:rPr>
  </w:style>
  <w:style w:type="character" w:customStyle="1" w:styleId="33">
    <w:name w:val="样式二"/>
    <w:basedOn w:val="32"/>
    <w:qFormat/>
    <w:uiPriority w:val="0"/>
    <w:rPr>
      <w:rFonts w:ascii="宋体" w:hAnsi="宋体"/>
      <w:color w:val="000000"/>
      <w:sz w:val="36"/>
    </w:rPr>
  </w:style>
  <w:style w:type="character" w:customStyle="1" w:styleId="34">
    <w:name w:val="批注框文本 字符"/>
    <w:basedOn w:val="16"/>
    <w:link w:val="7"/>
    <w:qFormat/>
    <w:uiPriority w:val="0"/>
    <w:rPr>
      <w:snapToGrid w:val="0"/>
      <w:sz w:val="18"/>
      <w:szCs w:val="18"/>
    </w:rPr>
  </w:style>
  <w:style w:type="paragraph" w:styleId="35">
    <w:name w:val="List Paragraph"/>
    <w:basedOn w:val="1"/>
    <w:qFormat/>
    <w:uiPriority w:val="34"/>
    <w:pPr>
      <w:ind w:firstLine="420" w:firstLineChars="200"/>
    </w:pPr>
  </w:style>
  <w:style w:type="character" w:customStyle="1" w:styleId="36">
    <w:name w:val="标题 4 字符"/>
    <w:basedOn w:val="16"/>
    <w:link w:val="5"/>
    <w:semiHidden/>
    <w:qFormat/>
    <w:uiPriority w:val="0"/>
    <w:rPr>
      <w:rFonts w:asciiTheme="majorHAnsi" w:hAnsiTheme="majorHAnsi" w:eastAsiaTheme="majorEastAsia" w:cstheme="majorBidi"/>
      <w:b/>
      <w:bCs/>
      <w:snapToGrid w:val="0"/>
      <w:sz w:val="28"/>
      <w:szCs w:val="28"/>
    </w:rPr>
  </w:style>
  <w:style w:type="character" w:customStyle="1" w:styleId="37">
    <w:name w:val="HTML 预设格式 字符"/>
    <w:basedOn w:val="16"/>
    <w:link w:val="12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38">
    <w:name w:val="hljs-attr"/>
    <w:basedOn w:val="16"/>
    <w:qFormat/>
    <w:uiPriority w:val="0"/>
  </w:style>
  <w:style w:type="character" w:customStyle="1" w:styleId="39">
    <w:name w:val="hljs-string"/>
    <w:basedOn w:val="16"/>
    <w:qFormat/>
    <w:uiPriority w:val="0"/>
  </w:style>
  <w:style w:type="character" w:customStyle="1" w:styleId="40">
    <w:name w:val="hljs-meta"/>
    <w:basedOn w:val="16"/>
    <w:qFormat/>
    <w:uiPriority w:val="0"/>
  </w:style>
  <w:style w:type="character" w:customStyle="1" w:styleId="41">
    <w:name w:val="hljs-comment"/>
    <w:basedOn w:val="16"/>
    <w:qFormat/>
    <w:uiPriority w:val="0"/>
  </w:style>
  <w:style w:type="paragraph" w:customStyle="1" w:styleId="42">
    <w:name w:val="TOC Heading"/>
    <w:basedOn w:val="2"/>
    <w:next w:val="1"/>
    <w:unhideWhenUsed/>
    <w:qFormat/>
    <w:uiPriority w:val="39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模板</Template>
  <Company>Huawei Technologies Co.,Ltd.</Company>
  <Pages>9</Pages>
  <Words>1665</Words>
  <Characters>2703</Characters>
  <Lines>5</Lines>
  <Paragraphs>1</Paragraphs>
  <TotalTime>1</TotalTime>
  <ScaleCrop>false</ScaleCrop>
  <LinksUpToDate>false</LinksUpToDate>
  <CharactersWithSpaces>2743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2019-07-19T03:06:00Z</dcterms:created>
  <dc:creator>Yanyawen</dc:creator>
  <cp:lastModifiedBy>fulltower</cp:lastModifiedBy>
  <dcterms:modified xsi:type="dcterms:W3CDTF">2025-10-20T11:40:16Z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2052-12.1.0.23125</vt:lpwstr>
  </property>
  <property fmtid="{D5CDD505-2E9C-101B-9397-08002B2CF9AE}" pid="14" name="ICV">
    <vt:lpwstr>5F5172BAE1CE47EE984D0F00F96E0691_13</vt:lpwstr>
  </property>
  <property fmtid="{D5CDD505-2E9C-101B-9397-08002B2CF9AE}" pid="15" name="KSOTemplateDocerSaveRecord">
    <vt:lpwstr>eyJoZGlkIjoiOTRjZmY0MTgyNzE3ZDIyYzRjYjg3NWQ1NTE1OTIyNGQiLCJ1c2VySWQiOiIxMDIzNDQ5NDAzIn0=</vt:lpwstr>
  </property>
</Properties>
</file>