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491A" w14:textId="77777777" w:rsidR="00F11C9C" w:rsidRDefault="00000000">
      <w:pPr>
        <w:pStyle w:val="1"/>
        <w:spacing w:line="300" w:lineRule="auto"/>
      </w:pPr>
      <w:r>
        <w:rPr>
          <w:rFonts w:ascii="Arial Unicode MS" w:eastAsia="Arial Unicode MS" w:hAnsi="Arial Unicode MS" w:cs="Arial Unicode MS"/>
        </w:rPr>
        <w:t>1 需求背景</w:t>
      </w:r>
    </w:p>
    <w:p w14:paraId="1E8F675A" w14:textId="77777777" w:rsidR="00F11C9C" w:rsidRDefault="00000000">
      <w:pPr>
        <w:pStyle w:val="2"/>
        <w:spacing w:before="0" w:line="300" w:lineRule="auto"/>
      </w:pPr>
      <w:r>
        <w:rPr>
          <w:rFonts w:ascii="Arial Unicode MS" w:eastAsia="Arial Unicode MS" w:hAnsi="Arial Unicode MS" w:cs="Arial Unicode MS"/>
        </w:rPr>
        <w:t>1.1 需求来源</w:t>
      </w:r>
    </w:p>
    <w:p w14:paraId="7E7CB9BD" w14:textId="77777777" w:rsidR="00F11C9C" w:rsidRDefault="00000000">
      <w:pPr>
        <w:pBdr>
          <w:top w:val="nil"/>
          <w:left w:val="nil"/>
          <w:bottom w:val="nil"/>
          <w:right w:val="nil"/>
          <w:between w:val="nil"/>
        </w:pBdr>
        <w:spacing w:after="225" w:line="300" w:lineRule="auto"/>
      </w:pPr>
      <w:r>
        <w:rPr>
          <w:rFonts w:ascii="Arial Unicode MS" w:eastAsia="Arial Unicode MS" w:hAnsi="Arial Unicode MS" w:cs="Arial Unicode MS"/>
        </w:rPr>
        <w:t>本项目属于</w:t>
      </w:r>
      <w:r>
        <w:rPr>
          <w:rFonts w:ascii="Arial Unicode MS" w:eastAsia="Arial Unicode MS" w:hAnsi="Arial Unicode MS" w:cs="Arial Unicode MS"/>
          <w:b/>
          <w:bCs/>
        </w:rPr>
        <w:t>性能优化需求</w:t>
      </w:r>
      <w:r>
        <w:rPr>
          <w:rFonts w:ascii="Arial Unicode MS" w:eastAsia="Arial Unicode MS" w:hAnsi="Arial Unicode MS" w:cs="Arial Unicode MS"/>
        </w:rPr>
        <w:t>，旨在全面提升自定义算子在昇腾架构下的执行效率，降低端到端模型推理与训练的算子耗时。</w:t>
      </w:r>
    </w:p>
    <w:p w14:paraId="11EE83E5" w14:textId="77777777" w:rsidR="00F11C9C" w:rsidRDefault="00000000">
      <w:pPr>
        <w:pStyle w:val="2"/>
        <w:spacing w:before="0" w:after="240" w:line="300" w:lineRule="auto"/>
      </w:pPr>
      <w:r>
        <w:rPr>
          <w:rFonts w:ascii="Arial Unicode MS" w:eastAsia="Arial Unicode MS" w:hAnsi="Arial Unicode MS" w:cs="Arial Unicode MS"/>
        </w:rPr>
        <w:t>1.2 背景介绍</w:t>
      </w:r>
    </w:p>
    <w:p w14:paraId="0646A1F7" w14:textId="77777777" w:rsidR="00F11C9C" w:rsidRDefault="00000000">
      <w:pPr>
        <w:pStyle w:val="3"/>
        <w:spacing w:before="0" w:line="300" w:lineRule="auto"/>
      </w:pPr>
      <w:r>
        <w:rPr>
          <w:rFonts w:ascii="Arial Unicode MS" w:eastAsia="Arial Unicode MS" w:hAnsi="Arial Unicode MS" w:cs="Arial Unicode MS"/>
        </w:rPr>
        <w:t>1.2.1 TruncateMod算子实现优化</w:t>
      </w:r>
    </w:p>
    <w:p w14:paraId="5EC035EE" w14:textId="77777777" w:rsidR="00F11C9C" w:rsidRDefault="00000000">
      <w:pPr>
        <w:pBdr>
          <w:top w:val="nil"/>
          <w:left w:val="nil"/>
          <w:bottom w:val="nil"/>
          <w:right w:val="nil"/>
          <w:between w:val="nil"/>
        </w:pBdr>
        <w:spacing w:line="300" w:lineRule="auto"/>
      </w:pPr>
      <w:r>
        <w:rPr>
          <w:rFonts w:ascii="Arial Unicode MS" w:eastAsia="Arial Unicode MS" w:hAnsi="Arial Unicode MS" w:cs="Arial Unicode MS"/>
        </w:rPr>
        <w:t>基于</w:t>
      </w:r>
      <w:r>
        <w:rPr>
          <w:rFonts w:eastAsia="Arial"/>
          <w:b/>
          <w:bCs/>
        </w:rPr>
        <w:t>Ascend C</w:t>
      </w:r>
      <w:r>
        <w:rPr>
          <w:rFonts w:ascii="Arial Unicode MS" w:eastAsia="Arial Unicode MS" w:hAnsi="Arial Unicode MS" w:cs="Arial Unicode MS"/>
        </w:rPr>
        <w:t>编程语言的现有算子实现，通过深入分析硬件架构特性，重点针对</w:t>
      </w:r>
      <w:r>
        <w:rPr>
          <w:rFonts w:eastAsia="Arial"/>
          <w:b/>
          <w:bCs/>
        </w:rPr>
        <w:t>Double Buffer</w:t>
      </w:r>
      <w:r>
        <w:rPr>
          <w:rFonts w:ascii="Arial Unicode MS" w:eastAsia="Arial Unicode MS" w:hAnsi="Arial Unicode MS" w:cs="Arial Unicode MS"/>
        </w:rPr>
        <w:t>流水线并行、标量输入场景以及</w:t>
      </w:r>
      <w:r>
        <w:rPr>
          <w:rFonts w:eastAsia="Arial"/>
          <w:b/>
          <w:bCs/>
        </w:rPr>
        <w:t>Cache</w:t>
      </w:r>
      <w:r>
        <w:rPr>
          <w:rFonts w:ascii="Arial Unicode MS" w:eastAsia="Arial Unicode MS" w:hAnsi="Arial Unicode MS" w:cs="Arial Unicode MS"/>
        </w:rPr>
        <w:t>友好性进行深度重构与优化。</w:t>
      </w:r>
    </w:p>
    <w:p w14:paraId="0EE1C3F4" w14:textId="77777777" w:rsidR="00F11C9C" w:rsidRDefault="00000000">
      <w:pPr>
        <w:pBdr>
          <w:top w:val="nil"/>
          <w:left w:val="nil"/>
          <w:bottom w:val="nil"/>
          <w:right w:val="nil"/>
          <w:between w:val="nil"/>
        </w:pBdr>
        <w:spacing w:line="300" w:lineRule="auto"/>
      </w:pPr>
      <w:r>
        <w:rPr>
          <w:rFonts w:ascii="Arial Unicode MS" w:eastAsia="Arial Unicode MS" w:hAnsi="Arial Unicode MS" w:cs="Arial Unicode MS"/>
        </w:rPr>
        <w:t>TruncateMod算子的核心数学计算公式如下：</w:t>
      </w:r>
    </w:p>
    <w:p w14:paraId="06272EFA" w14:textId="77777777" w:rsidR="00F11C9C" w:rsidRDefault="00000000">
      <w:pPr>
        <w:pBdr>
          <w:top w:val="nil"/>
          <w:left w:val="nil"/>
          <w:bottom w:val="nil"/>
          <w:right w:val="nil"/>
          <w:between w:val="nil"/>
        </w:pBdr>
        <w:spacing w:before="150" w:after="390" w:line="300" w:lineRule="auto"/>
        <w:ind w:left="150" w:right="150"/>
        <w:rPr>
          <w:rFonts w:ascii="Courier" w:eastAsia="Courier" w:hAnsi="Courier" w:cs="Courier"/>
          <w:shd w:val="clear" w:color="auto" w:fill="F4F4F4"/>
        </w:rPr>
      </w:pPr>
      <w:r>
        <w:rPr>
          <w:rFonts w:ascii="Courier" w:eastAsia="Courier" w:hAnsi="Courier" w:cs="Courier"/>
          <w:shd w:val="clear" w:color="auto" w:fill="F4F4F4"/>
        </w:rPr>
        <w:t>out_i = self_i - trunc(self_i / other_i) * other_i</w:t>
      </w:r>
    </w:p>
    <w:p w14:paraId="2841DD4D" w14:textId="77777777" w:rsidR="00F11C9C" w:rsidRDefault="00000000">
      <w:pPr>
        <w:pStyle w:val="3"/>
        <w:spacing w:before="0" w:line="300" w:lineRule="auto"/>
      </w:pPr>
      <w:r>
        <w:rPr>
          <w:rFonts w:ascii="Arial Unicode MS" w:eastAsia="Arial Unicode MS" w:hAnsi="Arial Unicode MS" w:cs="Arial Unicode MS"/>
        </w:rPr>
        <w:t>1.2.2 TruncateMod算子现状分析</w:t>
      </w:r>
    </w:p>
    <w:p w14:paraId="01D39A75" w14:textId="77777777" w:rsidR="00F11C9C" w:rsidRDefault="00000000">
      <w:pPr>
        <w:pBdr>
          <w:top w:val="nil"/>
          <w:left w:val="nil"/>
          <w:bottom w:val="nil"/>
          <w:right w:val="nil"/>
          <w:between w:val="nil"/>
        </w:pBdr>
        <w:spacing w:line="300" w:lineRule="auto"/>
      </w:pPr>
      <w:r>
        <w:rPr>
          <w:rFonts w:ascii="Arial Unicode MS" w:eastAsia="Arial Unicode MS" w:hAnsi="Arial Unicode MS" w:cs="Arial Unicode MS"/>
        </w:rPr>
        <w:t>对现有版本的</w:t>
      </w:r>
      <w:r>
        <w:rPr>
          <w:rFonts w:eastAsia="Arial"/>
          <w:b/>
          <w:bCs/>
        </w:rPr>
        <w:t>TruncateMod</w:t>
      </w:r>
      <w:r>
        <w:rPr>
          <w:rFonts w:ascii="Arial Unicode MS" w:eastAsia="Arial Unicode MS" w:hAnsi="Arial Unicode MS" w:cs="Arial Unicode MS"/>
        </w:rPr>
        <w:t>算子进行剖析，当前系统的能力与瓶颈主要表现在以下几个维度：</w:t>
      </w:r>
    </w:p>
    <w:p w14:paraId="2DD938EC" w14:textId="77777777" w:rsidR="00F11C9C" w:rsidRDefault="00000000">
      <w:pPr>
        <w:numPr>
          <w:ilvl w:val="0"/>
          <w:numId w:val="1"/>
        </w:numPr>
        <w:pBdr>
          <w:top w:val="nil"/>
          <w:left w:val="nil"/>
          <w:bottom w:val="nil"/>
          <w:right w:val="nil"/>
          <w:between w:val="nil"/>
        </w:pBdr>
        <w:spacing w:line="300" w:lineRule="auto"/>
      </w:pPr>
      <w:r>
        <w:rPr>
          <w:rFonts w:ascii="Arial Unicode MS" w:eastAsia="Arial Unicode MS" w:hAnsi="Arial Unicode MS" w:cs="Arial Unicode MS"/>
        </w:rPr>
        <w:t>支持数据类型：全面支持</w:t>
      </w:r>
      <w:r>
        <w:rPr>
          <w:rFonts w:eastAsia="Arial"/>
          <w:b/>
          <w:bCs/>
        </w:rPr>
        <w:t>float16</w:t>
      </w:r>
      <w:r>
        <w:rPr>
          <w:rFonts w:ascii="Arial Unicode MS" w:eastAsia="Arial Unicode MS" w:hAnsi="Arial Unicode MS" w:cs="Arial Unicode MS"/>
        </w:rPr>
        <w:t>、</w:t>
      </w:r>
      <w:r>
        <w:rPr>
          <w:rFonts w:eastAsia="Arial"/>
          <w:b/>
          <w:bCs/>
        </w:rPr>
        <w:t>float32</w:t>
      </w:r>
      <w:r>
        <w:rPr>
          <w:rFonts w:ascii="Arial Unicode MS" w:eastAsia="Arial Unicode MS" w:hAnsi="Arial Unicode MS" w:cs="Arial Unicode MS"/>
        </w:rPr>
        <w:t>、</w:t>
      </w:r>
      <w:r>
        <w:rPr>
          <w:rFonts w:eastAsia="Arial"/>
          <w:b/>
          <w:bCs/>
        </w:rPr>
        <w:t>bfloat16</w:t>
      </w:r>
      <w:r>
        <w:rPr>
          <w:rFonts w:ascii="Arial Unicode MS" w:eastAsia="Arial Unicode MS" w:hAnsi="Arial Unicode MS" w:cs="Arial Unicode MS"/>
        </w:rPr>
        <w:t>、</w:t>
      </w:r>
      <w:r>
        <w:rPr>
          <w:rFonts w:eastAsia="Arial"/>
          <w:b/>
          <w:bCs/>
        </w:rPr>
        <w:t>int8</w:t>
      </w:r>
      <w:r>
        <w:rPr>
          <w:rFonts w:ascii="Arial Unicode MS" w:eastAsia="Arial Unicode MS" w:hAnsi="Arial Unicode MS" w:cs="Arial Unicode MS"/>
        </w:rPr>
        <w:t>、</w:t>
      </w:r>
      <w:r>
        <w:rPr>
          <w:rFonts w:eastAsia="Arial"/>
          <w:b/>
          <w:bCs/>
        </w:rPr>
        <w:t>uint8</w:t>
      </w:r>
      <w:r>
        <w:rPr>
          <w:rFonts w:ascii="Arial Unicode MS" w:eastAsia="Arial Unicode MS" w:hAnsi="Arial Unicode MS" w:cs="Arial Unicode MS"/>
        </w:rPr>
        <w:t>、</w:t>
      </w:r>
      <w:r>
        <w:rPr>
          <w:rFonts w:eastAsia="Arial"/>
          <w:b/>
          <w:bCs/>
        </w:rPr>
        <w:t>int32</w:t>
      </w:r>
      <w:r>
        <w:rPr>
          <w:rFonts w:ascii="Arial Unicode MS" w:eastAsia="Arial Unicode MS" w:hAnsi="Arial Unicode MS" w:cs="Arial Unicode MS"/>
        </w:rPr>
        <w:t>、</w:t>
      </w:r>
      <w:r>
        <w:rPr>
          <w:rFonts w:eastAsia="Arial"/>
          <w:b/>
          <w:bCs/>
        </w:rPr>
        <w:t>int64</w:t>
      </w:r>
      <w:r>
        <w:rPr>
          <w:rFonts w:ascii="Arial Unicode MS" w:eastAsia="Arial Unicode MS" w:hAnsi="Arial Unicode MS" w:cs="Arial Unicode MS"/>
        </w:rPr>
        <w:t>共七种常规</w:t>
      </w:r>
      <w:r>
        <w:rPr>
          <w:rFonts w:eastAsia="Arial"/>
          <w:b/>
          <w:bCs/>
        </w:rPr>
        <w:t>dtype</w:t>
      </w:r>
      <w:r>
        <w:rPr>
          <w:rFonts w:ascii="Arial Unicode MS" w:eastAsia="Arial Unicode MS" w:hAnsi="Arial Unicode MS" w:cs="Arial Unicode MS"/>
        </w:rPr>
        <w:t>。</w:t>
      </w:r>
    </w:p>
    <w:p w14:paraId="016974FB" w14:textId="77777777" w:rsidR="00F11C9C" w:rsidRDefault="00000000">
      <w:pPr>
        <w:numPr>
          <w:ilvl w:val="0"/>
          <w:numId w:val="1"/>
        </w:numPr>
        <w:pBdr>
          <w:top w:val="nil"/>
          <w:left w:val="nil"/>
          <w:bottom w:val="nil"/>
          <w:right w:val="nil"/>
          <w:between w:val="nil"/>
        </w:pBdr>
        <w:spacing w:line="300" w:lineRule="auto"/>
      </w:pPr>
      <w:r>
        <w:rPr>
          <w:rFonts w:ascii="Arial Unicode MS" w:eastAsia="Arial Unicode MS" w:hAnsi="Arial Unicode MS" w:cs="Arial Unicode MS"/>
        </w:rPr>
        <w:t>广播机制：支持多维广播操作，依赖</w:t>
      </w:r>
      <w:r>
        <w:rPr>
          <w:rFonts w:eastAsia="Arial"/>
          <w:b/>
          <w:bCs/>
        </w:rPr>
        <w:t>BroadcastSch</w:t>
      </w:r>
      <w:r>
        <w:rPr>
          <w:rFonts w:ascii="Arial Unicode MS" w:eastAsia="Arial Unicode MS" w:hAnsi="Arial Unicode MS" w:cs="Arial Unicode MS"/>
        </w:rPr>
        <w:t>广播调度框架来处理输入的动态Shape广播映射。</w:t>
      </w:r>
    </w:p>
    <w:p w14:paraId="45B970FD" w14:textId="77777777" w:rsidR="00F11C9C" w:rsidRDefault="00000000">
      <w:pPr>
        <w:numPr>
          <w:ilvl w:val="0"/>
          <w:numId w:val="1"/>
        </w:numPr>
        <w:pBdr>
          <w:top w:val="nil"/>
          <w:left w:val="nil"/>
          <w:bottom w:val="nil"/>
          <w:right w:val="nil"/>
          <w:between w:val="nil"/>
        </w:pBdr>
        <w:spacing w:line="300" w:lineRule="auto"/>
      </w:pPr>
      <w:r>
        <w:rPr>
          <w:rFonts w:ascii="Arial Unicode MS" w:eastAsia="Arial Unicode MS" w:hAnsi="Arial Unicode MS" w:cs="Arial Unicode MS"/>
        </w:rPr>
        <w:t>流水线并行：当前实现采用单缓冲模式，未能充分释放硬件中多流水线（如</w:t>
      </w:r>
      <w:r>
        <w:rPr>
          <w:rFonts w:eastAsia="Arial"/>
          <w:b/>
          <w:bCs/>
        </w:rPr>
        <w:t>MTE2</w:t>
      </w:r>
      <w:r>
        <w:rPr>
          <w:rFonts w:ascii="Arial Unicode MS" w:eastAsia="Arial Unicode MS" w:hAnsi="Arial Unicode MS" w:cs="Arial Unicode MS"/>
        </w:rPr>
        <w:t>搬运流水线与</w:t>
      </w:r>
      <w:r>
        <w:rPr>
          <w:rFonts w:eastAsia="Arial"/>
          <w:b/>
          <w:bCs/>
        </w:rPr>
        <w:t>Vector</w:t>
      </w:r>
      <w:r>
        <w:rPr>
          <w:rFonts w:ascii="Arial Unicode MS" w:eastAsia="Arial Unicode MS" w:hAnsi="Arial Unicode MS" w:cs="Arial Unicode MS"/>
        </w:rPr>
        <w:t>计算流水线）的并行交错能力。</w:t>
      </w:r>
    </w:p>
    <w:p w14:paraId="76306F67" w14:textId="77777777" w:rsidR="00F11C9C" w:rsidRDefault="00000000">
      <w:pPr>
        <w:numPr>
          <w:ilvl w:val="0"/>
          <w:numId w:val="1"/>
        </w:numPr>
        <w:pBdr>
          <w:top w:val="nil"/>
          <w:left w:val="nil"/>
          <w:bottom w:val="nil"/>
          <w:right w:val="nil"/>
          <w:between w:val="nil"/>
        </w:pBdr>
        <w:spacing w:line="300" w:lineRule="auto"/>
      </w:pPr>
      <w:r>
        <w:rPr>
          <w:rFonts w:ascii="Arial Unicode MS" w:eastAsia="Arial Unicode MS" w:hAnsi="Arial Unicode MS" w:cs="Arial Unicode MS"/>
        </w:rPr>
        <w:t>标量退化：在除数（other）为标量的特殊高频场景下，依然强制走通用的完整广播流程，带来了不必要的形状计算与内存搬运开销。</w:t>
      </w:r>
    </w:p>
    <w:p w14:paraId="3B2EB163" w14:textId="77777777" w:rsidR="00F11C9C" w:rsidRDefault="00000000">
      <w:pPr>
        <w:numPr>
          <w:ilvl w:val="0"/>
          <w:numId w:val="1"/>
        </w:numPr>
        <w:pBdr>
          <w:top w:val="nil"/>
          <w:left w:val="nil"/>
          <w:bottom w:val="nil"/>
          <w:right w:val="nil"/>
          <w:between w:val="nil"/>
        </w:pBdr>
        <w:spacing w:line="300" w:lineRule="auto"/>
      </w:pPr>
      <w:r>
        <w:rPr>
          <w:rFonts w:ascii="Arial Unicode MS" w:eastAsia="Arial Unicode MS" w:hAnsi="Arial Unicode MS" w:cs="Arial Unicode MS"/>
        </w:rPr>
        <w:t>数据局部性：数据访问模式较为粗放，未针对高级别Cache及</w:t>
      </w:r>
      <w:r>
        <w:rPr>
          <w:rFonts w:eastAsia="Arial"/>
          <w:b/>
          <w:bCs/>
        </w:rPr>
        <w:t>TLB miss</w:t>
      </w:r>
      <w:r>
        <w:rPr>
          <w:rFonts w:ascii="Arial Unicode MS" w:eastAsia="Arial Unicode MS" w:hAnsi="Arial Unicode MS" w:cs="Arial Unicode MS"/>
        </w:rPr>
        <w:t>进行精细化对齐与空间切分。</w:t>
      </w:r>
    </w:p>
    <w:p w14:paraId="0957FD42" w14:textId="77777777" w:rsidR="00F11C9C" w:rsidRDefault="00000000">
      <w:pPr>
        <w:pStyle w:val="1"/>
        <w:spacing w:line="300" w:lineRule="auto"/>
      </w:pPr>
      <w:r>
        <w:rPr>
          <w:rFonts w:ascii="Arial Unicode MS" w:eastAsia="Arial Unicode MS" w:hAnsi="Arial Unicode MS" w:cs="Arial Unicode MS"/>
        </w:rPr>
        <w:t>2 需求分析</w:t>
      </w:r>
    </w:p>
    <w:p w14:paraId="0F9B7BBC" w14:textId="77777777" w:rsidR="00F11C9C" w:rsidRDefault="00000000">
      <w:pPr>
        <w:pStyle w:val="2"/>
        <w:spacing w:before="0" w:line="300" w:lineRule="auto"/>
      </w:pPr>
      <w:r>
        <w:rPr>
          <w:rFonts w:ascii="Arial Unicode MS" w:eastAsia="Arial Unicode MS" w:hAnsi="Arial Unicode MS" w:cs="Arial Unicode MS"/>
        </w:rPr>
        <w:t>2.1 外部组件依赖</w:t>
      </w:r>
    </w:p>
    <w:p w14:paraId="5AE69BF5" w14:textId="77777777" w:rsidR="00F11C9C" w:rsidRDefault="00000000">
      <w:pPr>
        <w:pBdr>
          <w:top w:val="nil"/>
          <w:left w:val="nil"/>
          <w:bottom w:val="nil"/>
          <w:right w:val="nil"/>
          <w:between w:val="nil"/>
        </w:pBdr>
        <w:spacing w:after="225" w:line="300" w:lineRule="auto"/>
      </w:pPr>
      <w:r>
        <w:rPr>
          <w:rFonts w:ascii="Arial Unicode MS" w:eastAsia="Arial Unicode MS" w:hAnsi="Arial Unicode MS" w:cs="Arial Unicode MS"/>
        </w:rPr>
        <w:lastRenderedPageBreak/>
        <w:t>本算子在Host侧与Kernel侧的高效广播调度强依赖于</w:t>
      </w:r>
      <w:r>
        <w:rPr>
          <w:rFonts w:eastAsia="Arial"/>
          <w:b/>
          <w:bCs/>
        </w:rPr>
        <w:t>atvoss</w:t>
      </w:r>
      <w:r>
        <w:rPr>
          <w:rFonts w:ascii="Arial Unicode MS" w:eastAsia="Arial Unicode MS" w:hAnsi="Arial Unicode MS" w:cs="Arial Unicode MS"/>
        </w:rPr>
        <w:t>基础库中的BroadcastSch组件，用以生成高效的广播映射片表。</w:t>
      </w:r>
    </w:p>
    <w:p w14:paraId="5BF9FCD7" w14:textId="77777777" w:rsidR="00F11C9C" w:rsidRDefault="00000000">
      <w:pPr>
        <w:pStyle w:val="2"/>
        <w:spacing w:before="0" w:line="300" w:lineRule="auto"/>
      </w:pPr>
      <w:r>
        <w:rPr>
          <w:rFonts w:ascii="Arial Unicode MS" w:eastAsia="Arial Unicode MS" w:hAnsi="Arial Unicode MS" w:cs="Arial Unicode MS"/>
        </w:rPr>
        <w:t>2.2 内部适配模块</w:t>
      </w:r>
    </w:p>
    <w:p w14:paraId="2065A118" w14:textId="77777777" w:rsidR="00F11C9C" w:rsidRDefault="00000000">
      <w:pPr>
        <w:pBdr>
          <w:top w:val="nil"/>
          <w:left w:val="nil"/>
          <w:bottom w:val="nil"/>
          <w:right w:val="nil"/>
          <w:between w:val="nil"/>
        </w:pBdr>
        <w:spacing w:after="225" w:line="300" w:lineRule="auto"/>
      </w:pPr>
      <w:r>
        <w:rPr>
          <w:rFonts w:ascii="Arial Unicode MS" w:eastAsia="Arial Unicode MS" w:hAnsi="Arial Unicode MS" w:cs="Arial Unicode MS"/>
        </w:rPr>
        <w:t>算子需完美适配</w:t>
      </w:r>
      <w:r>
        <w:rPr>
          <w:rFonts w:eastAsia="Arial"/>
          <w:b/>
          <w:bCs/>
        </w:rPr>
        <w:t>Aclnn</w:t>
      </w:r>
      <w:r>
        <w:rPr>
          <w:rFonts w:ascii="Arial Unicode MS" w:eastAsia="Arial Unicode MS" w:hAnsi="Arial Unicode MS" w:cs="Arial Unicode MS"/>
        </w:rPr>
        <w:t>直调接口，同时支持在图形化编译模式（图模式）下的自动下发与融合调度。</w:t>
      </w:r>
    </w:p>
    <w:p w14:paraId="75E1D927" w14:textId="77777777" w:rsidR="00F11C9C" w:rsidRDefault="00000000">
      <w:pPr>
        <w:pStyle w:val="2"/>
        <w:spacing w:before="0" w:after="240" w:line="300" w:lineRule="auto"/>
      </w:pPr>
      <w:r>
        <w:rPr>
          <w:rFonts w:ascii="Arial Unicode MS" w:eastAsia="Arial Unicode MS" w:hAnsi="Arial Unicode MS" w:cs="Arial Unicode MS"/>
        </w:rPr>
        <w:t>2.3 需求模块设计</w:t>
      </w:r>
    </w:p>
    <w:p w14:paraId="74549949" w14:textId="77777777" w:rsidR="00F11C9C" w:rsidRDefault="00000000">
      <w:pPr>
        <w:pStyle w:val="3"/>
        <w:spacing w:before="0" w:line="300" w:lineRule="auto"/>
      </w:pPr>
      <w:r>
        <w:rPr>
          <w:rFonts w:ascii="Arial Unicode MS" w:eastAsia="Arial Unicode MS" w:hAnsi="Arial Unicode MS" w:cs="Arial Unicode MS"/>
        </w:rPr>
        <w:t>2.3.1 算子原型</w:t>
      </w:r>
    </w:p>
    <w:tbl>
      <w:tblPr>
        <w:tblStyle w:val="a5"/>
        <w:tblW w:w="9360" w:type="dxa"/>
        <w:tblInd w:w="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1560"/>
        <w:gridCol w:w="1560"/>
        <w:gridCol w:w="1560"/>
        <w:gridCol w:w="1560"/>
        <w:gridCol w:w="1560"/>
        <w:gridCol w:w="1560"/>
      </w:tblGrid>
      <w:tr w:rsidR="00F11C9C" w14:paraId="25E79A2F" w14:textId="77777777">
        <w:trPr>
          <w:tblHeader/>
        </w:trPr>
        <w:tc>
          <w:tcPr>
            <w:tcW w:w="156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6C8989EA"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名称</w:t>
            </w:r>
          </w:p>
        </w:tc>
        <w:tc>
          <w:tcPr>
            <w:tcW w:w="156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737CD4B5"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类别</w:t>
            </w:r>
          </w:p>
        </w:tc>
        <w:tc>
          <w:tcPr>
            <w:tcW w:w="156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16F929F4" w14:textId="77777777" w:rsidR="00F11C9C" w:rsidRDefault="00000000">
            <w:pPr>
              <w:pBdr>
                <w:top w:val="nil"/>
                <w:left w:val="nil"/>
                <w:bottom w:val="nil"/>
                <w:right w:val="nil"/>
                <w:between w:val="nil"/>
              </w:pBdr>
              <w:spacing w:before="120" w:after="120" w:line="300" w:lineRule="auto"/>
            </w:pPr>
            <w:r>
              <w:rPr>
                <w:rFonts w:eastAsia="Arial"/>
              </w:rPr>
              <w:t>dtype</w:t>
            </w:r>
          </w:p>
        </w:tc>
        <w:tc>
          <w:tcPr>
            <w:tcW w:w="156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6FCB3567" w14:textId="77777777" w:rsidR="00F11C9C" w:rsidRDefault="00000000">
            <w:pPr>
              <w:pBdr>
                <w:top w:val="nil"/>
                <w:left w:val="nil"/>
                <w:bottom w:val="nil"/>
                <w:right w:val="nil"/>
                <w:between w:val="nil"/>
              </w:pBdr>
              <w:spacing w:before="120" w:after="120" w:line="300" w:lineRule="auto"/>
            </w:pPr>
            <w:r>
              <w:rPr>
                <w:rFonts w:eastAsia="Arial"/>
              </w:rPr>
              <w:t>format</w:t>
            </w:r>
          </w:p>
        </w:tc>
        <w:tc>
          <w:tcPr>
            <w:tcW w:w="156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61CCA05C" w14:textId="77777777" w:rsidR="00F11C9C" w:rsidRDefault="00000000">
            <w:pPr>
              <w:pBdr>
                <w:top w:val="nil"/>
                <w:left w:val="nil"/>
                <w:bottom w:val="nil"/>
                <w:right w:val="nil"/>
                <w:between w:val="nil"/>
              </w:pBdr>
              <w:spacing w:before="120" w:after="120" w:line="300" w:lineRule="auto"/>
            </w:pPr>
            <w:r>
              <w:rPr>
                <w:rFonts w:eastAsia="Arial"/>
              </w:rPr>
              <w:t>shape</w:t>
            </w:r>
          </w:p>
        </w:tc>
        <w:tc>
          <w:tcPr>
            <w:tcW w:w="156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0230D1A7"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介绍</w:t>
            </w:r>
          </w:p>
        </w:tc>
      </w:tr>
      <w:tr w:rsidR="00F11C9C" w14:paraId="0B0FAF06" w14:textId="77777777">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4112BE7D" w14:textId="77777777" w:rsidR="00F11C9C" w:rsidRDefault="00000000">
            <w:pPr>
              <w:pBdr>
                <w:top w:val="nil"/>
                <w:left w:val="nil"/>
                <w:bottom w:val="nil"/>
                <w:right w:val="nil"/>
                <w:between w:val="nil"/>
              </w:pBdr>
              <w:spacing w:before="120" w:after="120" w:line="300" w:lineRule="auto"/>
            </w:pPr>
            <w:r>
              <w:rPr>
                <w:rFonts w:eastAsia="Arial"/>
              </w:rPr>
              <w:t>self</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0722A1D9"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输入</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56A7AC8A" w14:textId="77777777" w:rsidR="00F11C9C" w:rsidRDefault="00000000">
            <w:pPr>
              <w:pBdr>
                <w:top w:val="nil"/>
                <w:left w:val="nil"/>
                <w:bottom w:val="nil"/>
                <w:right w:val="nil"/>
                <w:between w:val="nil"/>
              </w:pBdr>
              <w:spacing w:before="120" w:after="120" w:line="300" w:lineRule="auto"/>
            </w:pPr>
            <w:r>
              <w:rPr>
                <w:rFonts w:eastAsia="Arial"/>
              </w:rPr>
              <w:t>fp16/fp32/bf16/int8/uint8/int32/int64</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79931880" w14:textId="77777777" w:rsidR="00F11C9C" w:rsidRDefault="00000000">
            <w:pPr>
              <w:pBdr>
                <w:top w:val="nil"/>
                <w:left w:val="nil"/>
                <w:bottom w:val="nil"/>
                <w:right w:val="nil"/>
                <w:between w:val="nil"/>
              </w:pBdr>
              <w:spacing w:before="120" w:after="120" w:line="300" w:lineRule="auto"/>
              <w:rPr>
                <w:b/>
                <w:bCs/>
              </w:rPr>
            </w:pPr>
            <w:r>
              <w:rPr>
                <w:rFonts w:eastAsia="Arial"/>
                <w:b/>
                <w:bCs/>
              </w:rPr>
              <w:t>ND</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1B1FD5B2" w14:textId="77777777" w:rsidR="00F11C9C" w:rsidRDefault="00000000">
            <w:pPr>
              <w:pBdr>
                <w:top w:val="nil"/>
                <w:left w:val="nil"/>
                <w:bottom w:val="nil"/>
                <w:right w:val="nil"/>
                <w:between w:val="nil"/>
              </w:pBdr>
              <w:spacing w:before="120" w:after="120" w:line="300" w:lineRule="auto"/>
            </w:pPr>
            <w:r>
              <w:rPr>
                <w:rFonts w:eastAsia="Arial"/>
              </w:rPr>
              <w:t>all</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2F55D66C"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被除数张量</w:t>
            </w:r>
          </w:p>
        </w:tc>
      </w:tr>
      <w:tr w:rsidR="00F11C9C" w14:paraId="16828AA7" w14:textId="77777777">
        <w:tc>
          <w:tcPr>
            <w:tcW w:w="156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73BA3F16" w14:textId="77777777" w:rsidR="00F11C9C" w:rsidRDefault="00000000">
            <w:pPr>
              <w:pBdr>
                <w:top w:val="nil"/>
                <w:left w:val="nil"/>
                <w:bottom w:val="nil"/>
                <w:right w:val="nil"/>
                <w:between w:val="nil"/>
              </w:pBdr>
              <w:spacing w:before="120" w:after="120" w:line="300" w:lineRule="auto"/>
            </w:pPr>
            <w:r>
              <w:rPr>
                <w:rFonts w:eastAsia="Arial"/>
              </w:rPr>
              <w:t>other</w:t>
            </w:r>
          </w:p>
        </w:tc>
        <w:tc>
          <w:tcPr>
            <w:tcW w:w="156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4B131AE3"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输入</w:t>
            </w:r>
          </w:p>
        </w:tc>
        <w:tc>
          <w:tcPr>
            <w:tcW w:w="156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36FB65E2" w14:textId="77777777" w:rsidR="00F11C9C" w:rsidRDefault="00000000">
            <w:pPr>
              <w:pBdr>
                <w:top w:val="nil"/>
                <w:left w:val="nil"/>
                <w:bottom w:val="nil"/>
                <w:right w:val="nil"/>
                <w:between w:val="nil"/>
              </w:pBdr>
              <w:spacing w:before="120" w:after="120" w:line="300" w:lineRule="auto"/>
            </w:pPr>
            <w:r>
              <w:rPr>
                <w:rFonts w:eastAsia="Arial"/>
              </w:rPr>
              <w:t>fp16/fp32/bf16/int8/uint8/int32/int64</w:t>
            </w:r>
          </w:p>
        </w:tc>
        <w:tc>
          <w:tcPr>
            <w:tcW w:w="156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65806CC3" w14:textId="77777777" w:rsidR="00F11C9C" w:rsidRDefault="00000000">
            <w:pPr>
              <w:pBdr>
                <w:top w:val="nil"/>
                <w:left w:val="nil"/>
                <w:bottom w:val="nil"/>
                <w:right w:val="nil"/>
                <w:between w:val="nil"/>
              </w:pBdr>
              <w:spacing w:before="120" w:after="120" w:line="300" w:lineRule="auto"/>
            </w:pPr>
            <w:r>
              <w:rPr>
                <w:rFonts w:eastAsia="Arial"/>
              </w:rPr>
              <w:t>ND</w:t>
            </w:r>
          </w:p>
        </w:tc>
        <w:tc>
          <w:tcPr>
            <w:tcW w:w="156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0AD950A1" w14:textId="77777777" w:rsidR="00F11C9C" w:rsidRDefault="00000000">
            <w:pPr>
              <w:pBdr>
                <w:top w:val="nil"/>
                <w:left w:val="nil"/>
                <w:bottom w:val="nil"/>
                <w:right w:val="nil"/>
                <w:between w:val="nil"/>
              </w:pBdr>
              <w:spacing w:before="120" w:after="120" w:line="300" w:lineRule="auto"/>
            </w:pPr>
            <w:r>
              <w:rPr>
                <w:rFonts w:eastAsia="Arial"/>
              </w:rPr>
              <w:t>all</w:t>
            </w:r>
          </w:p>
        </w:tc>
        <w:tc>
          <w:tcPr>
            <w:tcW w:w="156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4DF6F785"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除数张量或标量</w:t>
            </w:r>
          </w:p>
        </w:tc>
      </w:tr>
      <w:tr w:rsidR="00F11C9C" w14:paraId="48F5A036" w14:textId="77777777">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290DDA46" w14:textId="77777777" w:rsidR="00F11C9C" w:rsidRDefault="00000000">
            <w:pPr>
              <w:pBdr>
                <w:top w:val="nil"/>
                <w:left w:val="nil"/>
                <w:bottom w:val="nil"/>
                <w:right w:val="nil"/>
                <w:between w:val="nil"/>
              </w:pBdr>
              <w:spacing w:before="120" w:after="120" w:line="300" w:lineRule="auto"/>
            </w:pPr>
            <w:r>
              <w:rPr>
                <w:rFonts w:eastAsia="Arial"/>
              </w:rPr>
              <w:t>out</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137B6C59"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输出</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00F85FAA" w14:textId="77777777" w:rsidR="00F11C9C" w:rsidRDefault="00000000">
            <w:pPr>
              <w:pBdr>
                <w:top w:val="nil"/>
                <w:left w:val="nil"/>
                <w:bottom w:val="nil"/>
                <w:right w:val="nil"/>
                <w:between w:val="nil"/>
              </w:pBdr>
              <w:spacing w:before="120" w:after="120" w:line="300" w:lineRule="auto"/>
            </w:pPr>
            <w:r>
              <w:rPr>
                <w:rFonts w:eastAsia="Arial"/>
              </w:rPr>
              <w:t>fp16/fp32/bf16/int8/uint8/int32/int64</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537A9B41" w14:textId="77777777" w:rsidR="00F11C9C" w:rsidRDefault="00000000">
            <w:pPr>
              <w:pBdr>
                <w:top w:val="nil"/>
                <w:left w:val="nil"/>
                <w:bottom w:val="nil"/>
                <w:right w:val="nil"/>
                <w:between w:val="nil"/>
              </w:pBdr>
              <w:spacing w:before="120" w:after="120" w:line="300" w:lineRule="auto"/>
            </w:pPr>
            <w:r>
              <w:rPr>
                <w:rFonts w:eastAsia="Arial"/>
              </w:rPr>
              <w:t>ND</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21A2E3AF"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同输入</w:t>
            </w:r>
          </w:p>
        </w:tc>
        <w:tc>
          <w:tcPr>
            <w:tcW w:w="156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01057211"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余数计算结果</w:t>
            </w:r>
          </w:p>
        </w:tc>
      </w:tr>
    </w:tbl>
    <w:p w14:paraId="12100DA4" w14:textId="77777777" w:rsidR="00F11C9C" w:rsidRDefault="00F11C9C">
      <w:pPr>
        <w:pBdr>
          <w:top w:val="nil"/>
          <w:left w:val="nil"/>
          <w:bottom w:val="nil"/>
          <w:right w:val="nil"/>
          <w:between w:val="nil"/>
        </w:pBdr>
        <w:spacing w:before="300" w:after="240"/>
      </w:pPr>
    </w:p>
    <w:p w14:paraId="0CE7F93D" w14:textId="77777777" w:rsidR="00F11C9C" w:rsidRDefault="00000000">
      <w:pPr>
        <w:pStyle w:val="3"/>
        <w:spacing w:line="300" w:lineRule="auto"/>
      </w:pPr>
      <w:r>
        <w:rPr>
          <w:rFonts w:ascii="Arial Unicode MS" w:eastAsia="Arial Unicode MS" w:hAnsi="Arial Unicode MS" w:cs="Arial Unicode MS"/>
        </w:rPr>
        <w:t>2.3.2 相关约束</w:t>
      </w:r>
    </w:p>
    <w:p w14:paraId="580C33FD" w14:textId="77777777" w:rsidR="003A568D" w:rsidRDefault="003A568D">
      <w:pPr>
        <w:pStyle w:val="1"/>
        <w:spacing w:before="0" w:line="300" w:lineRule="auto"/>
        <w:rPr>
          <w:rFonts w:ascii="Arial Unicode MS" w:hAnsi="Arial Unicode MS" w:cs="Arial Unicode MS"/>
          <w:b w:val="0"/>
          <w:bCs w:val="0"/>
          <w:sz w:val="22"/>
          <w:szCs w:val="22"/>
        </w:rPr>
      </w:pPr>
      <w:r w:rsidRPr="003A568D">
        <w:rPr>
          <w:rFonts w:ascii="Arial Unicode MS" w:eastAsia="Arial Unicode MS" w:hAnsi="Arial Unicode MS" w:cs="Arial Unicode MS"/>
          <w:b w:val="0"/>
          <w:bCs w:val="0"/>
          <w:sz w:val="22"/>
          <w:szCs w:val="22"/>
        </w:rPr>
        <w:t xml:space="preserve">Atlas A2 </w:t>
      </w:r>
      <w:r w:rsidRPr="003A568D">
        <w:rPr>
          <w:rFonts w:ascii="宋体" w:eastAsia="宋体" w:hAnsi="宋体" w:cs="宋体" w:hint="eastAsia"/>
          <w:b w:val="0"/>
          <w:bCs w:val="0"/>
          <w:sz w:val="22"/>
          <w:szCs w:val="22"/>
        </w:rPr>
        <w:t>训练系列产品</w:t>
      </w:r>
      <w:r w:rsidRPr="003A568D">
        <w:rPr>
          <w:rFonts w:ascii="Arial Unicode MS" w:eastAsia="Arial Unicode MS" w:hAnsi="Arial Unicode MS" w:cs="Arial Unicode MS"/>
          <w:b w:val="0"/>
          <w:bCs w:val="0"/>
          <w:sz w:val="22"/>
          <w:szCs w:val="22"/>
        </w:rPr>
        <w:t>/Atlas 800I A2</w:t>
      </w:r>
      <w:r w:rsidRPr="003A568D">
        <w:rPr>
          <w:rFonts w:ascii="宋体" w:eastAsia="宋体" w:hAnsi="宋体" w:cs="宋体" w:hint="eastAsia"/>
          <w:b w:val="0"/>
          <w:bCs w:val="0"/>
          <w:sz w:val="22"/>
          <w:szCs w:val="22"/>
        </w:rPr>
        <w:t>推理产品</w:t>
      </w:r>
      <w:r w:rsidRPr="003A568D">
        <w:rPr>
          <w:rFonts w:ascii="Arial Unicode MS" w:eastAsia="Arial Unicode MS" w:hAnsi="Arial Unicode MS" w:cs="Arial Unicode MS"/>
          <w:b w:val="0"/>
          <w:bCs w:val="0"/>
          <w:sz w:val="22"/>
          <w:szCs w:val="22"/>
        </w:rPr>
        <w:t>float16</w:t>
      </w:r>
      <w:r w:rsidRPr="003A568D">
        <w:rPr>
          <w:rFonts w:ascii="宋体" w:eastAsia="宋体" w:hAnsi="宋体" w:cs="宋体" w:hint="eastAsia"/>
          <w:b w:val="0"/>
          <w:bCs w:val="0"/>
          <w:sz w:val="22"/>
          <w:szCs w:val="22"/>
        </w:rPr>
        <w:t>、</w:t>
      </w:r>
      <w:r w:rsidRPr="003A568D">
        <w:rPr>
          <w:rFonts w:ascii="Arial Unicode MS" w:eastAsia="Arial Unicode MS" w:hAnsi="Arial Unicode MS" w:cs="Arial Unicode MS"/>
          <w:b w:val="0"/>
          <w:bCs w:val="0"/>
          <w:sz w:val="22"/>
          <w:szCs w:val="22"/>
        </w:rPr>
        <w:t>float32</w:t>
      </w:r>
      <w:r w:rsidRPr="003A568D">
        <w:rPr>
          <w:rFonts w:ascii="宋体" w:eastAsia="宋体" w:hAnsi="宋体" w:cs="宋体" w:hint="eastAsia"/>
          <w:b w:val="0"/>
          <w:bCs w:val="0"/>
          <w:sz w:val="22"/>
          <w:szCs w:val="22"/>
        </w:rPr>
        <w:t>、</w:t>
      </w:r>
      <w:r w:rsidRPr="003A568D">
        <w:rPr>
          <w:rFonts w:ascii="Arial Unicode MS" w:eastAsia="Arial Unicode MS" w:hAnsi="Arial Unicode MS" w:cs="Arial Unicode MS"/>
          <w:b w:val="0"/>
          <w:bCs w:val="0"/>
          <w:sz w:val="22"/>
          <w:szCs w:val="22"/>
        </w:rPr>
        <w:t>bfloat16</w:t>
      </w:r>
    </w:p>
    <w:p w14:paraId="5D7149D0" w14:textId="4630C541" w:rsidR="00F11C9C" w:rsidRDefault="00000000">
      <w:pPr>
        <w:pStyle w:val="1"/>
        <w:spacing w:before="0" w:line="300" w:lineRule="auto"/>
      </w:pPr>
      <w:r>
        <w:rPr>
          <w:rFonts w:ascii="Arial Unicode MS" w:eastAsia="Arial Unicode MS" w:hAnsi="Arial Unicode MS" w:cs="Arial Unicode MS"/>
        </w:rPr>
        <w:t>3 需求详细设计</w:t>
      </w:r>
    </w:p>
    <w:p w14:paraId="5E29A96C" w14:textId="77777777" w:rsidR="00F11C9C" w:rsidRDefault="00000000">
      <w:pPr>
        <w:pStyle w:val="2"/>
        <w:spacing w:before="0" w:line="300" w:lineRule="auto"/>
      </w:pPr>
      <w:r>
        <w:rPr>
          <w:rFonts w:ascii="Arial Unicode MS" w:eastAsia="Arial Unicode MS" w:hAnsi="Arial Unicode MS" w:cs="Arial Unicode MS"/>
        </w:rPr>
        <w:lastRenderedPageBreak/>
        <w:t>3.1 使能方式</w:t>
      </w:r>
    </w:p>
    <w:tbl>
      <w:tblPr>
        <w:tblStyle w:val="a6"/>
        <w:tblW w:w="9360" w:type="dxa"/>
        <w:tblInd w:w="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4680"/>
        <w:gridCol w:w="4680"/>
      </w:tblGrid>
      <w:tr w:rsidR="00F11C9C" w14:paraId="5D6C1BA1" w14:textId="77777777">
        <w:trPr>
          <w:tblHeader/>
        </w:trPr>
        <w:tc>
          <w:tcPr>
            <w:tcW w:w="468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7F556D8C"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上层框架</w:t>
            </w:r>
          </w:p>
        </w:tc>
        <w:tc>
          <w:tcPr>
            <w:tcW w:w="468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0B58817C"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涉及的框架勾选</w:t>
            </w:r>
          </w:p>
        </w:tc>
      </w:tr>
      <w:tr w:rsidR="00F11C9C" w14:paraId="28B34C74" w14:textId="77777777">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176CE86D"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ATC推理</w:t>
            </w:r>
          </w:p>
        </w:tc>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481D5784"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w:t>
            </w:r>
          </w:p>
        </w:tc>
      </w:tr>
      <w:tr w:rsidR="00F11C9C" w14:paraId="79CA7DF1" w14:textId="77777777">
        <w:tc>
          <w:tcPr>
            <w:tcW w:w="468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0188CE65"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Aclnn直调</w:t>
            </w:r>
          </w:p>
        </w:tc>
        <w:tc>
          <w:tcPr>
            <w:tcW w:w="468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78629A68"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w:t>
            </w:r>
          </w:p>
        </w:tc>
      </w:tr>
    </w:tbl>
    <w:p w14:paraId="684E7D29" w14:textId="77777777" w:rsidR="00F11C9C" w:rsidRDefault="00F11C9C">
      <w:pPr>
        <w:pBdr>
          <w:top w:val="nil"/>
          <w:left w:val="nil"/>
          <w:bottom w:val="nil"/>
          <w:right w:val="nil"/>
          <w:between w:val="nil"/>
        </w:pBdr>
        <w:spacing w:before="300" w:after="225"/>
      </w:pPr>
    </w:p>
    <w:p w14:paraId="26247C6A" w14:textId="77777777" w:rsidR="00F11C9C" w:rsidRDefault="00000000">
      <w:pPr>
        <w:pStyle w:val="2"/>
        <w:spacing w:after="240" w:line="300" w:lineRule="auto"/>
      </w:pPr>
      <w:r>
        <w:rPr>
          <w:rFonts w:ascii="Arial Unicode MS" w:eastAsia="Arial Unicode MS" w:hAnsi="Arial Unicode MS" w:cs="Arial Unicode MS"/>
        </w:rPr>
        <w:t>3.2 需求总体设计</w:t>
      </w:r>
    </w:p>
    <w:p w14:paraId="60C5C546" w14:textId="77777777" w:rsidR="00F11C9C" w:rsidRDefault="00000000">
      <w:pPr>
        <w:pStyle w:val="3"/>
        <w:spacing w:before="0" w:line="300" w:lineRule="auto"/>
      </w:pPr>
      <w:r>
        <w:rPr>
          <w:rFonts w:ascii="Arial Unicode MS" w:eastAsia="Arial Unicode MS" w:hAnsi="Arial Unicode MS" w:cs="Arial Unicode MS"/>
        </w:rPr>
        <w:t>3.2.1 Host侧设计</w:t>
      </w:r>
    </w:p>
    <w:p w14:paraId="1E2DF54F" w14:textId="77777777" w:rsidR="00F11C9C" w:rsidRDefault="00000000">
      <w:pPr>
        <w:pBdr>
          <w:top w:val="nil"/>
          <w:left w:val="nil"/>
          <w:bottom w:val="nil"/>
          <w:right w:val="nil"/>
          <w:between w:val="nil"/>
        </w:pBdr>
        <w:spacing w:line="300" w:lineRule="auto"/>
      </w:pPr>
      <w:r>
        <w:rPr>
          <w:rFonts w:ascii="Arial Unicode MS" w:eastAsia="Arial Unicode MS" w:hAnsi="Arial Unicode MS" w:cs="Arial Unicode MS"/>
        </w:rPr>
        <w:t>Host侧的核心任务是完成计算图的形状解析、编译期的tiling参数计算以及动态资源分配，具体策略如下：</w:t>
      </w:r>
    </w:p>
    <w:p w14:paraId="64289A3C" w14:textId="77777777" w:rsidR="00F11C9C" w:rsidRDefault="00000000">
      <w:pPr>
        <w:numPr>
          <w:ilvl w:val="0"/>
          <w:numId w:val="2"/>
        </w:numPr>
        <w:pBdr>
          <w:top w:val="nil"/>
          <w:left w:val="nil"/>
          <w:bottom w:val="nil"/>
          <w:right w:val="nil"/>
          <w:between w:val="nil"/>
        </w:pBdr>
        <w:spacing w:line="300" w:lineRule="auto"/>
      </w:pPr>
      <w:r>
        <w:rPr>
          <w:rFonts w:ascii="Arial Unicode MS" w:eastAsia="Arial Unicode MS" w:hAnsi="Arial Unicode MS" w:cs="Arial Unicode MS"/>
          <w:b/>
          <w:bCs/>
        </w:rPr>
        <w:t>Tiling策略</w:t>
      </w:r>
      <w:r>
        <w:rPr>
          <w:rFonts w:ascii="Arial Unicode MS" w:eastAsia="Arial Unicode MS" w:hAnsi="Arial Unicode MS" w:cs="Arial Unicode MS"/>
        </w:rPr>
        <w:t>：Host侧首先获取输入端self与other的维度信息。若是标准广播，则调用BroadcastSch框架计算输出Shape与全量数据元素总长（total_length）。为了精准引导Kernel侧的硬件执行路径，特别引入了</w:t>
      </w:r>
      <w:r>
        <w:rPr>
          <w:rFonts w:eastAsia="Arial"/>
          <w:b/>
          <w:bCs/>
        </w:rPr>
        <w:t>tilingKey</w:t>
      </w:r>
      <w:r>
        <w:rPr>
          <w:rFonts w:ascii="Arial Unicode MS" w:eastAsia="Arial Unicode MS" w:hAnsi="Arial Unicode MS" w:cs="Arial Unicode MS"/>
        </w:rPr>
        <w:t>识别机制。若other检测为纯标量输入，设置tilingKey = 0；若other为需要进行空间扩展的张量，则设置tilingKey = 1。</w:t>
      </w:r>
    </w:p>
    <w:p w14:paraId="04B1D507" w14:textId="77777777" w:rsidR="00F11C9C" w:rsidRDefault="00000000">
      <w:pPr>
        <w:numPr>
          <w:ilvl w:val="0"/>
          <w:numId w:val="2"/>
        </w:numPr>
        <w:pBdr>
          <w:top w:val="nil"/>
          <w:left w:val="nil"/>
          <w:bottom w:val="nil"/>
          <w:right w:val="nil"/>
          <w:between w:val="nil"/>
        </w:pBdr>
        <w:spacing w:line="300" w:lineRule="auto"/>
      </w:pPr>
      <w:r>
        <w:rPr>
          <w:rFonts w:ascii="Arial Unicode MS" w:eastAsia="Arial Unicode MS" w:hAnsi="Arial Unicode MS" w:cs="Arial Unicode MS"/>
          <w:b/>
          <w:bCs/>
        </w:rPr>
        <w:t>分核策略</w:t>
      </w:r>
      <w:r>
        <w:rPr>
          <w:rFonts w:ascii="Arial Unicode MS" w:eastAsia="Arial Unicode MS" w:hAnsi="Arial Unicode MS" w:cs="Arial Unicode MS"/>
        </w:rPr>
        <w:t>：遵循</w:t>
      </w:r>
      <w:r>
        <w:rPr>
          <w:rFonts w:ascii="Arial Unicode MS" w:eastAsia="Arial Unicode MS" w:hAnsi="Arial Unicode MS" w:cs="Arial Unicode MS"/>
          <w:b/>
          <w:bCs/>
        </w:rPr>
        <w:t>满核原则</w:t>
      </w:r>
      <w:r>
        <w:rPr>
          <w:rFonts w:ascii="Arial Unicode MS" w:eastAsia="Arial Unicode MS" w:hAnsi="Arial Unicode MS" w:cs="Arial Unicode MS"/>
        </w:rPr>
        <w:t>。算法依据总对齐数据量与单一核心的</w:t>
      </w:r>
      <w:r>
        <w:rPr>
          <w:rFonts w:eastAsia="Arial"/>
          <w:b/>
          <w:bCs/>
        </w:rPr>
        <w:t>Unified Buffer</w:t>
      </w:r>
      <w:r>
        <w:rPr>
          <w:rFonts w:ascii="Arial Unicode MS" w:eastAsia="Arial Unicode MS" w:hAnsi="Arial Unicode MS" w:cs="Arial Unicode MS"/>
        </w:rPr>
        <w:t>（UB）最大承载量进行动态配分，确定最优的核心调用数（coreNum）。通过精细的模除逻辑确保每个核分担的数据块数实现极致的负载均衡。</w:t>
      </w:r>
    </w:p>
    <w:p w14:paraId="3546303B" w14:textId="77777777" w:rsidR="00F11C9C" w:rsidRDefault="00000000">
      <w:pPr>
        <w:numPr>
          <w:ilvl w:val="0"/>
          <w:numId w:val="2"/>
        </w:numPr>
        <w:pBdr>
          <w:top w:val="nil"/>
          <w:left w:val="nil"/>
          <w:bottom w:val="nil"/>
          <w:right w:val="nil"/>
          <w:between w:val="nil"/>
        </w:pBdr>
        <w:spacing w:line="300" w:lineRule="auto"/>
      </w:pPr>
      <w:r>
        <w:rPr>
          <w:rFonts w:ascii="Arial Unicode MS" w:eastAsia="Arial Unicode MS" w:hAnsi="Arial Unicode MS" w:cs="Arial Unicode MS"/>
          <w:b/>
          <w:bCs/>
        </w:rPr>
        <w:t>数据分块与内存优化策略</w:t>
      </w:r>
      <w:r>
        <w:rPr>
          <w:rFonts w:ascii="Arial Unicode MS" w:eastAsia="Arial Unicode MS" w:hAnsi="Arial Unicode MS" w:cs="Arial Unicode MS"/>
        </w:rPr>
        <w:t>：在开启Double Buffer的硬件约束下，单个核心的UB空间将面临成倍的切分。为保障流水线畅通，UB空间被精细划分为：inQueueX（2份）、inQueueX2（2份）、outQueueY（2份）以及辅助计算的workBuf（1份）。基于此，单次循环搬运的元素个数（tileElements）的推导公式定义为：</w:t>
      </w:r>
      <w:r>
        <w:rPr>
          <w:rFonts w:eastAsia="Arial"/>
          <w:color w:val="000000"/>
        </w:rPr>
        <w:br/>
      </w:r>
      <w:r>
        <w:rPr>
          <w:rFonts w:eastAsia="Arial"/>
          <w:color w:val="000000"/>
        </w:rPr>
        <w:br/>
      </w:r>
      <w:r>
        <w:rPr>
          <w:rFonts w:ascii="Courier" w:eastAsia="Courier" w:hAnsi="Courier" w:cs="Courier"/>
          <w:shd w:val="clear" w:color="auto" w:fill="F4F4F4"/>
        </w:rPr>
        <w:t>tileElements = (UB_SIZE - overhead) / (sizeof(T) * 7)</w:t>
      </w:r>
      <w:r>
        <w:rPr>
          <w:rFonts w:ascii="Arial Unicode MS" w:eastAsia="Arial Unicode MS" w:hAnsi="Arial Unicode MS" w:cs="Arial Unicode MS"/>
        </w:rPr>
        <w:t>其中，overhead表示系统预留的控制头开销，sizeof(T)表示当前数据类型的单元素字节数。</w:t>
      </w:r>
    </w:p>
    <w:p w14:paraId="60B5143C" w14:textId="77777777" w:rsidR="00F11C9C" w:rsidRDefault="00000000">
      <w:pPr>
        <w:pStyle w:val="3"/>
        <w:spacing w:line="300" w:lineRule="auto"/>
      </w:pPr>
      <w:r>
        <w:rPr>
          <w:rFonts w:ascii="Arial Unicode MS" w:eastAsia="Arial Unicode MS" w:hAnsi="Arial Unicode MS" w:cs="Arial Unicode MS"/>
        </w:rPr>
        <w:t>3.2.2 Kernel侧设计</w:t>
      </w:r>
    </w:p>
    <w:p w14:paraId="1DD6229B" w14:textId="77777777" w:rsidR="00F11C9C" w:rsidRDefault="00000000">
      <w:pPr>
        <w:pBdr>
          <w:top w:val="nil"/>
          <w:left w:val="nil"/>
          <w:bottom w:val="nil"/>
          <w:right w:val="nil"/>
          <w:between w:val="nil"/>
        </w:pBdr>
        <w:spacing w:line="300" w:lineRule="auto"/>
      </w:pPr>
      <w:r>
        <w:rPr>
          <w:rFonts w:ascii="Arial Unicode MS" w:eastAsia="Arial Unicode MS" w:hAnsi="Arial Unicode MS" w:cs="Arial Unicode MS"/>
        </w:rPr>
        <w:t>Kernel侧基于Ascend C的标准SPMD算子范式构建，执行流程清晰划分为初始化（Init）与流水线处理（Process）两个核心阶段。Process阶段内部通过硬同步及队列机制实现CopyIn、</w:t>
      </w:r>
      <w:r>
        <w:rPr>
          <w:rFonts w:ascii="Arial Unicode MS" w:eastAsia="Arial Unicode MS" w:hAnsi="Arial Unicode MS" w:cs="Arial Unicode MS"/>
        </w:rPr>
        <w:lastRenderedPageBreak/>
        <w:t>Compute和CopyOut三级并发控制。</w:t>
      </w:r>
    </w:p>
    <w:p w14:paraId="3AFA61DC" w14:textId="77777777" w:rsidR="00F11C9C" w:rsidRDefault="00000000">
      <w:pPr>
        <w:numPr>
          <w:ilvl w:val="0"/>
          <w:numId w:val="3"/>
        </w:numPr>
        <w:pBdr>
          <w:top w:val="nil"/>
          <w:left w:val="nil"/>
          <w:bottom w:val="nil"/>
          <w:right w:val="nil"/>
          <w:between w:val="nil"/>
        </w:pBdr>
        <w:spacing w:line="300" w:lineRule="auto"/>
      </w:pPr>
      <w:r>
        <w:rPr>
          <w:rFonts w:ascii="Arial Unicode MS" w:eastAsia="Arial Unicode MS" w:hAnsi="Arial Unicode MS" w:cs="Arial Unicode MS"/>
          <w:b/>
          <w:bCs/>
        </w:rPr>
        <w:t>Double Buffer优化</w:t>
      </w:r>
      <w:r>
        <w:rPr>
          <w:rFonts w:ascii="Arial Unicode MS" w:eastAsia="Arial Unicode MS" w:hAnsi="Arial Unicode MS" w:cs="Arial Unicode MS"/>
        </w:rPr>
        <w:t>：</w:t>
      </w:r>
      <w:r>
        <w:rPr>
          <w:rFonts w:eastAsia="Arial"/>
          <w:color w:val="000000"/>
        </w:rPr>
        <w:br/>
      </w:r>
      <w:r>
        <w:rPr>
          <w:rFonts w:ascii="Arial Unicode MS" w:eastAsia="Arial Unicode MS" w:hAnsi="Arial Unicode MS" w:cs="Arial Unicode MS"/>
        </w:rPr>
        <w:t>利用高级数据结构TQue&lt;VECIN, 2&gt;与TQue&lt;VECOUT, 2&gt;，在物理UB上开辟双重缓冲区。通过执行InitBuffer显式声明深度为2的内部阻塞队列。当第一组切片数据在Compute单元进行矢量乘除法计算时，MTE2异步搬运引擎已经开始并行将第二组切片从Global Memory加载进UB；同理，Compute完成的数据在向外写回（CopyOut）时，计算单元可立即切换至下一块数据的处理。这种三级流水线架构成功隐藏了内存总线搬运延迟，实现了计算与访存的交错并行。</w:t>
      </w:r>
    </w:p>
    <w:p w14:paraId="32890EB0" w14:textId="77777777" w:rsidR="00F11C9C" w:rsidRDefault="00000000">
      <w:pPr>
        <w:numPr>
          <w:ilvl w:val="0"/>
          <w:numId w:val="3"/>
        </w:numPr>
        <w:pBdr>
          <w:top w:val="nil"/>
          <w:left w:val="nil"/>
          <w:bottom w:val="nil"/>
          <w:right w:val="nil"/>
          <w:between w:val="nil"/>
        </w:pBdr>
        <w:spacing w:line="300" w:lineRule="auto"/>
      </w:pPr>
      <w:r>
        <w:rPr>
          <w:rFonts w:ascii="Arial Unicode MS" w:eastAsia="Arial Unicode MS" w:hAnsi="Arial Unicode MS" w:cs="Arial Unicode MS"/>
          <w:b/>
          <w:bCs/>
        </w:rPr>
        <w:t>标量优化</w:t>
      </w:r>
      <w:r>
        <w:rPr>
          <w:rFonts w:ascii="Arial Unicode MS" w:eastAsia="Arial Unicode MS" w:hAnsi="Arial Unicode MS" w:cs="Arial Unicode MS"/>
        </w:rPr>
        <w:t>：</w:t>
      </w:r>
      <w:r>
        <w:rPr>
          <w:rFonts w:eastAsia="Arial"/>
          <w:color w:val="000000"/>
        </w:rPr>
        <w:br/>
      </w:r>
      <w:r>
        <w:rPr>
          <w:rFonts w:ascii="Arial Unicode MS" w:eastAsia="Arial Unicode MS" w:hAnsi="Arial Unicode MS" w:cs="Arial Unicode MS"/>
        </w:rPr>
        <w:t>当tilingKey触发标量路径（other在融合轴后实际维度符合dim == 1）时，算子将完全绕过繁琐的逐元素广播寻址空间映射。利用昇腾Vector单元对标量指令的优异支持，将公式中的除法操作退化为一次标量倒数计算，随后在循环内部直接调用高度优化的</w:t>
      </w:r>
      <w:r>
        <w:rPr>
          <w:rFonts w:eastAsia="Arial"/>
          <w:b/>
          <w:bCs/>
        </w:rPr>
        <w:t>Muls</w:t>
      </w:r>
      <w:r>
        <w:rPr>
          <w:rFonts w:ascii="Arial Unicode MS" w:eastAsia="Arial Unicode MS" w:hAnsi="Arial Unicode MS" w:cs="Arial Unicode MS"/>
        </w:rPr>
        <w:t>标量乘法接口（即乘上1 / otherScalar）。这不仅将高周期的除法指令替换为低周期的乘法指令，还完全省去了存放other张量的临时Buffer开销，大幅提升了寄存器与通用计算单元的吞吐率。</w:t>
      </w:r>
    </w:p>
    <w:p w14:paraId="4F0540A4" w14:textId="77777777" w:rsidR="00F11C9C" w:rsidRDefault="00000000">
      <w:pPr>
        <w:numPr>
          <w:ilvl w:val="0"/>
          <w:numId w:val="3"/>
        </w:numPr>
        <w:pBdr>
          <w:top w:val="nil"/>
          <w:left w:val="nil"/>
          <w:bottom w:val="nil"/>
          <w:right w:val="nil"/>
          <w:between w:val="nil"/>
        </w:pBdr>
        <w:spacing w:line="300" w:lineRule="auto"/>
      </w:pPr>
      <w:r>
        <w:rPr>
          <w:rFonts w:ascii="Arial Unicode MS" w:eastAsia="Arial Unicode MS" w:hAnsi="Arial Unicode MS" w:cs="Arial Unicode MS"/>
          <w:b/>
          <w:bCs/>
        </w:rPr>
        <w:t>Cache优化</w:t>
      </w:r>
      <w:r>
        <w:rPr>
          <w:rFonts w:ascii="Arial Unicode MS" w:eastAsia="Arial Unicode MS" w:hAnsi="Arial Unicode MS" w:cs="Arial Unicode MS"/>
        </w:rPr>
        <w:t>：</w:t>
      </w:r>
      <w:r>
        <w:rPr>
          <w:rFonts w:eastAsia="Arial"/>
          <w:color w:val="000000"/>
        </w:rPr>
        <w:br/>
      </w:r>
      <w:r>
        <w:rPr>
          <w:rFonts w:ascii="Arial Unicode MS" w:eastAsia="Arial Unicode MS" w:hAnsi="Arial Unicode MS" w:cs="Arial Unicode MS"/>
        </w:rPr>
        <w:t>算子在空间切分时严格遵循</w:t>
      </w:r>
      <w:r>
        <w:rPr>
          <w:rFonts w:ascii="Arial Unicode MS" w:eastAsia="Arial Unicode MS" w:hAnsi="Arial Unicode MS" w:cs="Arial Unicode MS"/>
          <w:b/>
          <w:bCs/>
        </w:rPr>
        <w:t>最内轴切分</w:t>
      </w:r>
      <w:r>
        <w:rPr>
          <w:rFonts w:ascii="Arial Unicode MS" w:eastAsia="Arial Unicode MS" w:hAnsi="Arial Unicode MS" w:cs="Arial Unicode MS"/>
        </w:rPr>
        <w:t>原则，确保每一个AI Core所分配到的底层数据流在物理内存空间上具有连续性，最大限度提升硬件L1/L2 Cache的命中率。数据搬运步长及UB起始地址强制实施</w:t>
      </w:r>
      <w:r>
        <w:rPr>
          <w:rFonts w:ascii="Arial Unicode MS" w:eastAsia="Arial Unicode MS" w:hAnsi="Arial Unicode MS" w:cs="Arial Unicode MS"/>
          <w:b/>
          <w:bCs/>
        </w:rPr>
        <w:t>128B对齐</w:t>
      </w:r>
      <w:r>
        <w:rPr>
          <w:rFonts w:ascii="Arial Unicode MS" w:eastAsia="Arial Unicode MS" w:hAnsi="Arial Unicode MS" w:cs="Arial Unicode MS"/>
        </w:rPr>
        <w:t>，完美契合昇腾底层硬件的Cache Line架构，彻底根除了非对齐访存导致的多次总线事务请求，大幅降低了TLB miss的发生频率。</w:t>
      </w:r>
    </w:p>
    <w:p w14:paraId="178DB117" w14:textId="77777777" w:rsidR="00F11C9C" w:rsidRDefault="00000000">
      <w:pPr>
        <w:pStyle w:val="1"/>
        <w:spacing w:line="300" w:lineRule="auto"/>
      </w:pPr>
      <w:r>
        <w:rPr>
          <w:rFonts w:ascii="Arial Unicode MS" w:eastAsia="Arial Unicode MS" w:hAnsi="Arial Unicode MS" w:cs="Arial Unicode MS"/>
        </w:rPr>
        <w:t>4 特性交叉分析</w:t>
      </w:r>
    </w:p>
    <w:p w14:paraId="31CF8D35" w14:textId="77777777" w:rsidR="00F11C9C" w:rsidRDefault="00000000">
      <w:pPr>
        <w:pBdr>
          <w:top w:val="nil"/>
          <w:left w:val="nil"/>
          <w:bottom w:val="nil"/>
          <w:right w:val="nil"/>
          <w:between w:val="nil"/>
        </w:pBdr>
        <w:spacing w:after="240" w:line="300" w:lineRule="auto"/>
      </w:pPr>
      <w:r>
        <w:rPr>
          <w:rFonts w:ascii="Arial Unicode MS" w:eastAsia="Arial Unicode MS" w:hAnsi="Arial Unicode MS" w:cs="Arial Unicode MS"/>
        </w:rPr>
        <w:t>为确保优化后的算子在各种极端的工业级场景下具备高可用性，设计了严密的特性交叉验证矩阵。测试用例必须覆盖全量七种数据类型（从高精度fp32到低比特量化int8），且必须在多维广播场景下进行地毯式边界条件校验，重点核查多核边界切分处的元素是否出现数据交叠或遗漏。</w:t>
      </w:r>
    </w:p>
    <w:p w14:paraId="0268F988" w14:textId="77777777" w:rsidR="00F11C9C" w:rsidRDefault="00000000">
      <w:pPr>
        <w:pStyle w:val="1"/>
        <w:spacing w:before="0" w:line="300" w:lineRule="auto"/>
      </w:pPr>
      <w:r>
        <w:rPr>
          <w:rFonts w:ascii="Arial Unicode MS" w:eastAsia="Arial Unicode MS" w:hAnsi="Arial Unicode MS" w:cs="Arial Unicode MS"/>
        </w:rPr>
        <w:t>5 可维可测分析</w:t>
      </w:r>
    </w:p>
    <w:p w14:paraId="103990A1" w14:textId="77777777" w:rsidR="00F11C9C" w:rsidRDefault="00000000">
      <w:pPr>
        <w:pStyle w:val="2"/>
        <w:spacing w:before="0" w:line="300" w:lineRule="auto"/>
      </w:pPr>
      <w:r>
        <w:rPr>
          <w:rFonts w:ascii="Arial Unicode MS" w:eastAsia="Arial Unicode MS" w:hAnsi="Arial Unicode MS" w:cs="Arial Unicode MS"/>
        </w:rPr>
        <w:t>5.1 精度标准/性能标准</w:t>
      </w:r>
    </w:p>
    <w:tbl>
      <w:tblPr>
        <w:tblStyle w:val="a7"/>
        <w:tblW w:w="9360" w:type="dxa"/>
        <w:tblInd w:w="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3120"/>
        <w:gridCol w:w="3120"/>
        <w:gridCol w:w="3120"/>
      </w:tblGrid>
      <w:tr w:rsidR="00F11C9C" w14:paraId="760481D9" w14:textId="77777777">
        <w:trPr>
          <w:tblHeader/>
        </w:trPr>
        <w:tc>
          <w:tcPr>
            <w:tcW w:w="312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0B6E2924"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lastRenderedPageBreak/>
              <w:t>验收标准</w:t>
            </w:r>
          </w:p>
        </w:tc>
        <w:tc>
          <w:tcPr>
            <w:tcW w:w="312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1C2CFA7C"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描述(不涉及说明原因)</w:t>
            </w:r>
          </w:p>
        </w:tc>
        <w:tc>
          <w:tcPr>
            <w:tcW w:w="3120" w:type="dxa"/>
            <w:tcBorders>
              <w:top w:val="single" w:sz="6" w:space="0" w:color="BFBFBF"/>
              <w:left w:val="single" w:sz="6" w:space="0" w:color="BFBFBF"/>
              <w:bottom w:val="single" w:sz="6" w:space="0" w:color="BFBFBF"/>
              <w:right w:val="single" w:sz="6" w:space="0" w:color="BFBFBF"/>
            </w:tcBorders>
            <w:shd w:val="clear" w:color="auto" w:fill="D9E1F2"/>
            <w:tcMar>
              <w:top w:w="120" w:type="dxa"/>
              <w:left w:w="120" w:type="dxa"/>
              <w:bottom w:w="120" w:type="dxa"/>
              <w:right w:w="120" w:type="dxa"/>
            </w:tcMar>
          </w:tcPr>
          <w:p w14:paraId="04922790"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标准来源</w:t>
            </w:r>
          </w:p>
        </w:tc>
      </w:tr>
      <w:tr w:rsidR="00F11C9C" w14:paraId="14F4CED3" w14:textId="77777777">
        <w:tc>
          <w:tcPr>
            <w:tcW w:w="312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25F64710" w14:textId="77777777" w:rsidR="00F11C9C" w:rsidRDefault="00000000">
            <w:pPr>
              <w:pBdr>
                <w:top w:val="nil"/>
                <w:left w:val="nil"/>
                <w:bottom w:val="nil"/>
                <w:right w:val="nil"/>
                <w:between w:val="nil"/>
              </w:pBdr>
              <w:spacing w:before="120" w:after="120" w:line="300" w:lineRule="auto"/>
              <w:rPr>
                <w:b/>
                <w:bCs/>
              </w:rPr>
            </w:pPr>
            <w:r>
              <w:rPr>
                <w:rFonts w:ascii="Arial Unicode MS" w:eastAsia="Arial Unicode MS" w:hAnsi="Arial Unicode MS" w:cs="Arial Unicode MS"/>
                <w:b/>
                <w:bCs/>
              </w:rPr>
              <w:t>精度标准</w:t>
            </w:r>
          </w:p>
        </w:tc>
        <w:tc>
          <w:tcPr>
            <w:tcW w:w="312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7410F392"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绝对误差与相对误差均不低于优化前的基线版本。</w:t>
            </w:r>
          </w:p>
        </w:tc>
        <w:tc>
          <w:tcPr>
            <w:tcW w:w="312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495D222C"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官方算子标准库规范</w:t>
            </w:r>
          </w:p>
        </w:tc>
      </w:tr>
      <w:tr w:rsidR="00F11C9C" w14:paraId="6F3241B8" w14:textId="77777777">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0EAF2A28" w14:textId="77777777" w:rsidR="00F11C9C" w:rsidRDefault="00000000">
            <w:pPr>
              <w:pBdr>
                <w:top w:val="nil"/>
                <w:left w:val="nil"/>
                <w:bottom w:val="nil"/>
                <w:right w:val="nil"/>
                <w:between w:val="nil"/>
              </w:pBdr>
              <w:spacing w:before="120" w:after="120" w:line="300" w:lineRule="auto"/>
              <w:rPr>
                <w:b/>
                <w:bCs/>
              </w:rPr>
            </w:pPr>
            <w:r>
              <w:rPr>
                <w:rFonts w:ascii="Arial Unicode MS" w:eastAsia="Arial Unicode MS" w:hAnsi="Arial Unicode MS" w:cs="Arial Unicode MS"/>
                <w:b/>
                <w:bCs/>
              </w:rPr>
              <w:t>性能标准</w:t>
            </w:r>
          </w:p>
        </w:tc>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70F0E82A"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Double Buffer场景提升</w:t>
            </w:r>
            <w:r>
              <w:rPr>
                <w:rFonts w:ascii="Arial Unicode MS" w:eastAsia="Arial Unicode MS" w:hAnsi="Arial Unicode MS" w:cs="Arial Unicode MS"/>
                <w:b/>
                <w:bCs/>
              </w:rPr>
              <w:t>20%以上</w:t>
            </w:r>
            <w:r>
              <w:rPr>
                <w:rFonts w:ascii="Arial Unicode MS" w:eastAsia="Arial Unicode MS" w:hAnsi="Arial Unicode MS" w:cs="Arial Unicode MS"/>
              </w:rPr>
              <w:t>，标量场景提升</w:t>
            </w:r>
            <w:r>
              <w:rPr>
                <w:rFonts w:ascii="Arial Unicode MS" w:eastAsia="Arial Unicode MS" w:hAnsi="Arial Unicode MS" w:cs="Arial Unicode MS"/>
                <w:b/>
                <w:bCs/>
              </w:rPr>
              <w:t>30%以上</w:t>
            </w:r>
            <w:r>
              <w:rPr>
                <w:rFonts w:ascii="Arial Unicode MS" w:eastAsia="Arial Unicode MS" w:hAnsi="Arial Unicode MS" w:cs="Arial Unicode MS"/>
              </w:rPr>
              <w:t>。</w:t>
            </w:r>
          </w:p>
        </w:tc>
        <w:tc>
          <w:tcPr>
            <w:tcW w:w="3120" w:type="dxa"/>
            <w:tcBorders>
              <w:top w:val="single" w:sz="6" w:space="0" w:color="BFBFBF"/>
              <w:left w:val="single" w:sz="6" w:space="0" w:color="BFBFBF"/>
              <w:bottom w:val="single" w:sz="6" w:space="0" w:color="BFBFBF"/>
              <w:right w:val="single" w:sz="6" w:space="0" w:color="BFBFBF"/>
            </w:tcBorders>
            <w:shd w:val="clear" w:color="auto" w:fill="F2F2F2"/>
            <w:tcMar>
              <w:top w:w="120" w:type="dxa"/>
              <w:left w:w="120" w:type="dxa"/>
              <w:bottom w:w="120" w:type="dxa"/>
              <w:right w:w="120" w:type="dxa"/>
            </w:tcMar>
          </w:tcPr>
          <w:p w14:paraId="650796D4" w14:textId="77777777" w:rsidR="00F11C9C" w:rsidRDefault="00000000">
            <w:pPr>
              <w:pBdr>
                <w:top w:val="nil"/>
                <w:left w:val="nil"/>
                <w:bottom w:val="nil"/>
                <w:right w:val="nil"/>
                <w:between w:val="nil"/>
              </w:pBdr>
              <w:spacing w:before="120" w:after="120" w:line="300" w:lineRule="auto"/>
            </w:pPr>
            <w:r>
              <w:rPr>
                <w:rFonts w:ascii="Arial Unicode MS" w:eastAsia="Arial Unicode MS" w:hAnsi="Arial Unicode MS" w:cs="Arial Unicode MS"/>
              </w:rPr>
              <w:t>产品性能基线与专项优化目标</w:t>
            </w:r>
          </w:p>
        </w:tc>
      </w:tr>
    </w:tbl>
    <w:p w14:paraId="76100F99" w14:textId="77777777" w:rsidR="00F11C9C" w:rsidRDefault="00F11C9C">
      <w:pPr>
        <w:pBdr>
          <w:top w:val="nil"/>
          <w:left w:val="nil"/>
          <w:bottom w:val="nil"/>
          <w:right w:val="nil"/>
          <w:between w:val="nil"/>
        </w:pBdr>
        <w:spacing w:before="300" w:after="225"/>
      </w:pPr>
    </w:p>
    <w:p w14:paraId="6133662D" w14:textId="77777777" w:rsidR="00F11C9C" w:rsidRDefault="00000000">
      <w:pPr>
        <w:pStyle w:val="2"/>
        <w:spacing w:line="300" w:lineRule="auto"/>
      </w:pPr>
      <w:r>
        <w:rPr>
          <w:rFonts w:ascii="Arial Unicode MS" w:eastAsia="Arial Unicode MS" w:hAnsi="Arial Unicode MS" w:cs="Arial Unicode MS"/>
        </w:rPr>
        <w:t>5.2 兼容性分析</w:t>
      </w:r>
    </w:p>
    <w:p w14:paraId="0BE3C775" w14:textId="77777777" w:rsidR="00F11C9C" w:rsidRDefault="00000000">
      <w:pPr>
        <w:pBdr>
          <w:top w:val="nil"/>
          <w:left w:val="nil"/>
          <w:bottom w:val="nil"/>
          <w:right w:val="nil"/>
          <w:between w:val="nil"/>
        </w:pBdr>
        <w:spacing w:line="300" w:lineRule="auto"/>
      </w:pPr>
      <w:r>
        <w:rPr>
          <w:rFonts w:ascii="Arial Unicode MS" w:eastAsia="Arial Unicode MS" w:hAnsi="Arial Unicode MS" w:cs="Arial Unicode MS"/>
          <w:b/>
          <w:bCs/>
        </w:rPr>
        <w:t>功能兼容性</w:t>
      </w:r>
      <w:r>
        <w:rPr>
          <w:rFonts w:ascii="Arial Unicode MS" w:eastAsia="Arial Unicode MS" w:hAnsi="Arial Unicode MS" w:cs="Arial Unicode MS"/>
        </w:rPr>
        <w:t>：优化后算子行为与优化前一致，仅为底层计算路径的硬件级加速，不涉及接口变更，完全不涉及向前或向后的兼容性问题。</w:t>
      </w:r>
    </w:p>
    <w:sectPr w:rsidR="00F11C9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BD2DBB8-6958-48E2-9D8C-E0F8710713E3}"/>
  </w:font>
  <w:font w:name="Arial Unicode MS">
    <w:altName w:val="Arial"/>
    <w:panose1 w:val="020B0604020202020204"/>
    <w:charset w:val="00"/>
    <w:family w:val="auto"/>
    <w:pitch w:val="default"/>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DD7586D-12F8-4455-9A6A-A7610B40023E}"/>
  </w:font>
  <w:font w:name="Cambria">
    <w:panose1 w:val="02040503050406030204"/>
    <w:charset w:val="00"/>
    <w:family w:val="roman"/>
    <w:pitch w:val="variable"/>
    <w:sig w:usb0="E00006FF" w:usb1="420024FF" w:usb2="02000000" w:usb3="00000000" w:csb0="0000019F" w:csb1="00000000"/>
    <w:embedRegular r:id="rId3" w:fontKey="{C5EBCCF9-85CA-49E4-B239-5F4788C320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F255C"/>
    <w:multiLevelType w:val="multilevel"/>
    <w:tmpl w:val="C94AA4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077125D"/>
    <w:multiLevelType w:val="multilevel"/>
    <w:tmpl w:val="775C6A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DC175E7"/>
    <w:multiLevelType w:val="multilevel"/>
    <w:tmpl w:val="C72C5E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37166735">
    <w:abstractNumId w:val="1"/>
  </w:num>
  <w:num w:numId="2" w16cid:durableId="1188908071">
    <w:abstractNumId w:val="2"/>
  </w:num>
  <w:num w:numId="3" w16cid:durableId="30999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C9C"/>
    <w:rsid w:val="00176485"/>
    <w:rsid w:val="003A568D"/>
    <w:rsid w:val="00F11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D3B8"/>
  <w15:docId w15:val="{A5DF5F48-B11B-4AC9-99F0-CC603308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冠余 陈</cp:lastModifiedBy>
  <cp:revision>1</cp:revision>
  <dcterms:created xsi:type="dcterms:W3CDTF">2026-07-19T13:45:00Z</dcterms:created>
  <dcterms:modified xsi:type="dcterms:W3CDTF">2026-07-19T13:46:00Z</dcterms:modified>
</cp:coreProperties>
</file>