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بأمثلة محلولة خطوة بخطوة وتمارين من نمط البكالوريا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شعبة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المشتقات ،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oMath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دراسة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وتمثيلها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اللوغاريتم العشري وذو الأساس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تطبيقات اقتصادية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أمثلة من بكالوريا تسيير واقتصاد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مثال شامل من نمط البكالوريا</w:t>
                  </w:r>
                </w:p>
                <w:p>
                  <w:pPr>
                    <w:numPr>
                      <w:ilvl w:val="0"/>
                      <w:numId w:val="1001"/>
                    </w:numPr>
                    <w:bidi/>
                  </w:pPr>
                  <w:r>
                    <w:rPr>
                      <w:rtl/>
                    </w:rPr>
                    <w:t xml:space="preserve">خلاصة الطرائق</w:t>
                  </w:r>
                </w:p>
              </w:tc>
              <w:tc>
                <w:tcPr>
                  <w:tcW w:w="4988" w:type="dxa"/>
                </w:tcPr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التعريف: الدالة الأصلية 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الخواص الجبرية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تبسيط عبارات لوغاريتمية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المعادلات اللوغاريتمية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معادلات من الدرجة الثانية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oMath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المتراجحات اللوغاريتمية</w:t>
                  </w:r>
                </w:p>
                <w:p>
                  <w:pPr>
                    <w:numPr>
                      <w:ilvl w:val="0"/>
                      <w:numId w:val="1002"/>
                    </w:numPr>
                    <w:bidi/>
                  </w:pPr>
                  <w:r>
                    <w:rPr>
                      <w:rtl/>
                    </w:rPr>
                    <w:t xml:space="preserve">النهايات والنهايات الشهيرة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 حول الترتيب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شعبة تسيير واقتصاد تُدرس الدالة اللوغاريتمية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الأسية: نعرّفها انطلاقًا من الدوال الأصلية ، ولا نستعمل الدالة الأسية في هذا الدرس.</w:t>
            </w:r>
          </w:p>
        </w:tc>
      </w:tr>
    </w:tbl>
    <w:p>
      <w:pPr>
        <w:bidi/>
        <w:spacing w:before="0" w:after="0"/>
      </w:pPr>
    </w:p>
    <w:bookmarkStart w:id="20" w:name="التعريف-الدالة-الأصلية-لمقلوب-x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التعريف: الدالة الأصلية لمقلوب</w:t>
      </w:r>
      <w:r>
        <w:rPr>
          <w:rtl/>
        </w:rPr>
        <w:t xml:space="preserve"> </w:t>
      </w:r>
      <m:oMath>
        <m:r>
          <m:t>x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↦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تقبل دوالًا أصلية 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للدالة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↦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والتي 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color w:val="1F4E9C"/>
                  </w:rPr>
                  <m:t>′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f>
                  <m:fPr>
                    <m:type m:val="bar"/>
                  </m:fPr>
                  <m:num>
                    <m:r>
                      <w:rPr>
                        <w:color w:val="1F4E9C"/>
                      </w:rPr>
                      <m:t>1</m:t>
                    </m:r>
                  </m:num>
                  <m:den>
                    <m:r>
                      <w:rPr>
                        <w:color w:val="1F4E9C"/>
                      </w:rP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1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(إذن مستمرة) عليها.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e</m:t>
              </m:r>
              <m:r>
                <m:rPr>
                  <m:sty m:val="p"/>
                </m:rPr>
                <w:rPr>
                  <w:color w:val="1F4E9C"/>
                </w:rPr>
                <m:t>≈</m:t>
              </m:r>
              <m:r>
                <w:rPr>
                  <w:color w:val="1F4E9C"/>
                </w:rPr>
                <m:t>2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الذي 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1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بالآلة الحاسبة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,</m:t>
                  </m:r>
                  <m:r>
                    <w:rPr>
                      <w:color w:val="B3261E"/>
                      <w:highlight w:val="yellow"/>
                    </w:rP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أجل كل عددين حقيقيين موجبين تمامًا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 وكل عدد صحيح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5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865"/>
              <w:gridCol w:w="2865"/>
            </w:tblGrid>
            <w:tr>
              <w:trPr>
                <w:tblHeader w:val="true"/>
              </w:trPr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a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b</m:t>
                    </m:r>
                  </m:oMath>
                </w:p>
              </w:tc>
              <w:tc>
                <w:tcPr>
                  <w:tcW w:w="28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color w:val="1F4E9C"/>
                          </w:rPr>
                          <m:t>a</m:t>
                        </m:r>
                        <m:r>
                          <w:rPr>
                            <w:color w:val="1F4E9C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b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sSup>
                      <m:e>
                        <m:r>
                          <w:rPr>
                            <w:color w:val="1F4E9C"/>
                          </w:rPr>
                          <m:t>a</m:t>
                        </m:r>
                      </m:e>
                      <m:sup>
                        <m:r>
                          <w:rPr>
                            <w:color w:val="1F4E9C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1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</w:tr>
            <w:tr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sSup>
                      <m:e>
                        <m:r>
                          <w:rPr>
                            <w:color w:val="1F4E9C"/>
                          </w:rPr>
                          <m:t>e</m:t>
                        </m:r>
                      </m:e>
                      <m:sup>
                        <m:r>
                          <w:rPr>
                            <w:color w:val="1F4E9C"/>
                          </w:rP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n</m:t>
                    </m:r>
                  </m:oMath>
                </w:p>
              </w:tc>
              <w:tc>
                <w:tcPr>
                  <w:tcW w:w="28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color w:val="1F4E9C"/>
                          </w:rP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color w:val="1F4E9C"/>
                          </w:rPr>
                          <m:t>1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a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 الخاصية الأساسية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نثبت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نتائج: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=</m:t>
                </m:r>
                <m:r>
                  <w:rPr>
                    <w:color w:val="1F4E9C"/>
                  </w:rPr>
                  <m:t>b</m:t>
                </m:r>
                <m:r>
                  <w:rPr>
                    <w:color w:val="1F4E9C"/>
                  </w:rPr>
                  <m:t>  </m:t>
                </m:r>
                <m:r>
                  <w:rPr>
                    <w:color w:val="1F4E9C"/>
                  </w:rPr>
                  <m:t>  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&lt;</m:t>
                </m:r>
                <m:r>
                  <m:rPr>
                    <m:sty m:val="p"/>
                  </m:rPr>
                  <w:rPr>
                    <w:color w:val="1F4E9C"/>
                  </w:rPr>
                  <m:t>ln</m:t>
                </m:r>
                <m:r>
                  <w:rPr>
                    <w:color w:val="1F4E9C"/>
                  </w:rPr>
                  <m:t>b</m:t>
                </m:r>
                <m:r>
                  <m:rPr>
                    <m:sty m:val="p"/>
                  </m:rPr>
                  <w:rPr>
                    <w:color w:val="1F4E9C"/>
                  </w:rPr>
                  <m:t>⇔</m:t>
                </m:r>
                <m:r>
                  <w:rPr>
                    <w:color w:val="1F4E9C"/>
                  </w:rPr>
                  <m:t>a</m:t>
                </m:r>
                <m:r>
                  <m:rPr>
                    <m:sty m:val="p"/>
                  </m:rPr>
                  <w:rPr>
                    <w:color w:val="1F4E9C"/>
                  </w:rPr>
                  <m:t>&lt;</m:t>
                </m:r>
                <m:r>
                  <w:rPr>
                    <w:color w:val="1F4E9C"/>
                  </w:rP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e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⇔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sSup>
                    <m:e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  <w:highlight w:val="yellow"/>
                        </w:rPr>
                        <m:t>k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بسيط-عبارات-لوغاريتم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تبسيط عبارات 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عدد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 الأعداد إلى جداء عوامل أولية ، ثم 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أعداد فيها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5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معادلات-اللوغاريتم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اللوغاريتمية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(العبارات داخل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) 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k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t>D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4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2018)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16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وكلاهما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{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2016)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جداء معدوم: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{</m:t>
                    </m:r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;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}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ليستا لهما نفس مجموعة التعريف: 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تحويل.</w:t>
            </w:r>
          </w:p>
        </w:tc>
      </w:tr>
    </w:tbl>
    <w:p>
      <w:pPr>
        <w:bidi/>
        <w:spacing w:before="0" w:after="0"/>
      </w:pPr>
    </w:p>
    <w:bookmarkEnd w:id="23"/>
    <w:bookmarkStart w:id="24" w:name="X02f08cb5354cbd2008ab4a35aa03eb09fdcd944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معادلات ومتراجحات من الدرجة الثانية في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ln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ونعيّن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(بكالوريا 2010)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color w:val="B3261E"/>
                                  <w:highlight w:val="yellow"/>
                                </w:rP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 (بكالوريا 2010)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  نحلل: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45a7084a483cb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  <w:highlight w:val="yellow"/>
                            </w:rPr>
                            <m:t>−</m:t>
                          </m:r>
                          <m:r>
                            <w:rPr>
                              <w:color w:val="B3261E"/>
                              <w:highlight w:val="yellow"/>
                            </w:rP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r>
                        <w:rPr>
                          <w:color w:val="B3261E"/>
                          <w:highlight w:val="yellow"/>
                        </w:rP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راجحات-اللوغاريتم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المتراجحات اللوغاريتمية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متراجحة لوغاريتمية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نستعمل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⇔</m:t>
              </m:r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 مجموعة الحلول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تقاطع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حلول المتراجحة الناتجة.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;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3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color w:val="B3261E"/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color w:val="B3261E"/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نحلل: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2949ee7978d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]</m:t>
                  </m:r>
                  <m:r>
                    <w:rPr>
                      <w:color w:val="B3261E"/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∪</m:t>
                      </m:r>
                    </m:e>
                  </m:d>
                  <m:r>
                    <w:rPr>
                      <w:color w:val="B3261E"/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7173"/>
              <w:gridCol w:w="2350"/>
            </w:tblGrid>
            <w:tr>
              <w:trPr>
                <w:tblHeader w:val="true"/>
              </w:trPr>
              <w:tc>
                <w:tcPr>
                  <w:tcW w:w="717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color w:val="1F4E9C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color w:val="1F4E9C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∞</m:t>
                    </m:r>
                  </m:oMath>
                </w:p>
              </w:tc>
              <w:tc>
                <w:tcPr>
                  <w:tcW w:w="23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∞</m:t>
                        </m:r>
                      </m:lim>
                    </m:limLow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∞</m:t>
                    </m:r>
                  </m:oMath>
                </w:p>
              </w:tc>
            </w:tr>
            <w:tr>
              <w:tc>
                <w:tcPr>
                  <w:tcW w:w="717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color w:val="1F4E9C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color w:val="1F4E9C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  <m:r>
                      <w:rPr>
                        <w:color w:val="1F4E9C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0</m:t>
                    </m:r>
                  </m:oMath>
                </w:p>
              </w:tc>
              <w:tc>
                <w:tcPr>
                  <w:tcW w:w="23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ln</m:t>
                        </m:r>
                        <m:r>
                          <w:rPr>
                            <w:color w:val="1F4E9C"/>
                          </w:rPr>
                          <m:t>x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0</m:t>
                    </m:r>
                  </m:oMath>
                </w:p>
              </w:tc>
            </w:tr>
            <w:tr>
              <w:tc>
                <w:tcPr>
                  <w:tcW w:w="7173" w:type="dxa"/>
                  <w:gridSpan w:val="2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lim</m:t>
                        </m:r>
                      </m:e>
                      <m:lim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ln</m:t>
                        </m:r>
                        <m:r>
                          <w:rPr>
                            <w:color w:val="1F4E9C"/>
                          </w:rPr>
                          <m:t>x</m:t>
                        </m:r>
                      </m:num>
                      <m:den>
                        <m:r>
                          <w:rPr>
                            <w:color w:val="1F4E9C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1F4E9C"/>
                          </w:rPr>
                          <m:t>−</m:t>
                        </m:r>
                        <m:r>
                          <w:rPr>
                            <w:color w:val="1F4E9C"/>
                          </w:rP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color w:val="1F4E9C"/>
                      </w:rPr>
                      <m:t>=</m:t>
                    </m:r>
                    <m:r>
                      <w:rPr>
                        <w:color w:val="1F4E9C"/>
                      </w:rP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w:r>
                    <w:rPr>
                      <w:rtl/>
                    </w:rPr>
                    <w:t xml:space="preserve">(العدد المشتق للدالة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w:rPr>
                        <w:color w:val="1F4E9C"/>
                      </w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w:rPr>
                        <w:color w:val="1F4E9C"/>
                      </w:rPr>
                      <m:t>1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رفع حالة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</m:oMath>
            <w:r>
              <w:rPr>
                <w:rtl/>
              </w:rPr>
              <w:t xml:space="preserve">: نخرج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لتظهر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.  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0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</m:sup>
              </m:sSup>
            </m:oMath>
            <w:r>
              <w:rPr>
                <w:rtl/>
              </w:rPr>
              <w:t xml:space="preserve">: نُظهر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احسب النهايات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مشتقات-الدالة-ln-u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المشتقات ،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ln</m:t>
                  </m:r>
                  <m:r>
                    <w:rPr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′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1</m:t>
                  </m:r>
                </m:num>
                <m:den>
                  <m:r>
                    <w:rPr>
                      <w:color w:val="1F4E9C"/>
                    </w:rP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e>
                  </m:d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′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′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u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  <m:r>
                <w:rPr>
                  <w:color w:val="1F4E9C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احسب المشتقة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  <w:highlight w:val="yellow"/>
                        </w:rPr>
                        <m:t>2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color w:val="B3261E"/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+</m:t>
                      </m:r>
                      <m:r>
                        <w:rPr>
                          <w:color w:val="B3261E"/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تغير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u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تمامًا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3486"/>
        <w:gridCol w:w="6491"/>
      </w:tblGrid>
      <w:tr>
        <w:tc>
          <w:tcPr>
            <w:tcW w:w="3486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1664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88539ea86c0c7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91" w:type="dxa"/>
          </w:tcPr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محور التراتيب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والمنحنى تحته: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ln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≤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6bc617445cc0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8"/>
    <w:bookmarkStart w:id="29" w:name="X850c1ebab0bda6c07afec4e86d5b8105e24ad70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اللوغاريتم العشري واللوغاريتم ذو الأساس</w:t>
      </w:r>
      <w:r>
        <w:rPr>
          <w:rtl/>
        </w:rPr>
        <w:t xml:space="preserve"> </w:t>
      </w:r>
      <m:oMath>
        <m:r>
          <m:t>a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ذو الأساس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log</m:t>
                      </m:r>
                    </m:e>
                    <m:sub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sub>
                  </m:sSub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]</m:t>
              </m:r>
              <m:r>
                <w:rPr>
                  <w:color w:val="1F4E9C"/>
                </w:rPr>
                <m:t>0</m:t>
              </m:r>
              <m:r>
                <m:rPr>
                  <m:sty m:val="p"/>
                </m:rPr>
                <w:rPr>
                  <w:color w:val="1F4E9C"/>
                </w:rPr>
                <m:t>;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∞</m:t>
              </m:r>
              <m:r>
                <m:rPr>
                  <m:sty m:val="p"/>
                </m:rPr>
                <w:rPr>
                  <w:color w:val="1F4E9C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log</m:t>
                  </m:r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w:rPr>
                      <w:color w:val="1F4E9C"/>
                    </w:rPr>
                    <m:t>log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log</m:t>
              </m:r>
              <m:sSup>
                <m:e>
                  <m:r>
                    <w:rPr>
                      <w:color w:val="1F4E9C"/>
                    </w:rPr>
                    <m:t>10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طبيقات-اقتصادي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تطبيقات اقتصادية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إيداع بفائدة مركبة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نودع مبلغ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بنك بفائدة مركبة سنوية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فيصبح المبلغ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بعد كم سنة يتضاعف المبلغ؟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2</m:t>
                </m:r>
                <m:sSub>
                  <m:e>
                    <m:r>
                      <m:t>C</m:t>
                    </m:r>
                  </m:e>
                  <m:sub>
                    <m:r>
                      <m:t>0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05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≥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≥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14</m:t>
                </m:r>
                <m:r>
                  <m:rPr>
                    <m:sty m:val="p"/>
                  </m:rPr>
                  <m:t>,</m:t>
                </m:r>
                <m:r>
                  <m:t>21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يتضاعف المبلغ ابتداءً من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الربح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آلاف قطعة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rPr>
                <w:rtl/>
              </w:rPr>
              <w:t xml:space="preserve">) ، والربح بملايين الدينارات: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يكون الربح أعظميًا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color w:val="B3261E"/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=</m:t>
                  </m:r>
                  <m:r>
                    <w:rPr>
                      <w:color w:val="B3261E"/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6000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قطعة) ، وقيمته: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ln</m:t>
                    </m:r>
                    <m:r>
                      <w:rPr>
                        <w:color w:val="B3261E"/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4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حوالي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دينار.</w:t>
            </w:r>
          </w:p>
        </w:tc>
      </w:tr>
    </w:tbl>
    <w:p>
      <w:pPr>
        <w:bidi/>
        <w:spacing w:before="0" w:after="0"/>
      </w:pPr>
    </w:p>
    <w:bookmarkEnd w:id="30"/>
    <w:bookmarkStart w:id="31" w:name="أمثلة-من-بكالوريا-تسيير-واقتصاد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أمثلة من بكالوريا تسيير واقتصاد</w:t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 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w:rPr>
                      <w:color w:val="B3261E"/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 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(2018)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8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(2010)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1</m:t>
                            </m:r>
                          </m:e>
                        </m:d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(2017)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color w:val="B3261E"/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color w:val="B3261E"/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(2016)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w:rPr>
                        <w:color w:val="B3261E"/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−</m:t>
                    </m:r>
                    <m:r>
                      <w:rPr>
                        <w:color w:val="B3261E"/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ln</m:t>
                    </m:r>
                    <m:r>
                      <w:rPr>
                        <w:color w:val="B3261E"/>
                        <w:highlight w:val="yellow"/>
                      </w:rP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(2015)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</m:num>
                      <m:den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(2018)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−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2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color w:val="B3261E"/>
                            <w:highlight w:val="yellow"/>
                          </w:rPr>
                          <m:t>+</m:t>
                        </m:r>
                        <m:r>
                          <w:rPr>
                            <w:color w:val="B3261E"/>
                            <w:highlight w:val="yellow"/>
                          </w:rPr>
                          <m:t>6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color w:val="B3261E"/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color w:val="B3261E"/>
                                <w:highlight w:val="yellow"/>
                              </w:rPr>
                              <m:t>8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(2017)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  <w:highlight w:val="yellow"/>
                        </w:rPr>
                        <m:t>ln</m:t>
                      </m:r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Start w:id="32" w:name="مثال-شامل-من-نمط-البكالوريا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مثال شامل من نمط البكالوريا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color w:val="B3261E"/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3c971ad25adf8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color w:val="B3261E"/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محور التراتيب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color w:val="B3261E"/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color w:val="B3261E"/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color w:val="B3261E"/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b5f9a2b9e963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445252" cy="17007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7c6f0c52aa86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525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2448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b8bce369c0a2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2"/>
    <w:bookmarkStart w:id="33" w:name="خلاصة-الطرائق"/>
    <w:p>
      <w:pPr>
        <w:pStyle w:val="Heading1"/>
        <w:bidi/>
      </w:pPr>
      <w:r>
        <w:rPr>
          <w:rStyle w:val="SectionNumber"/>
          <w:rtl/>
        </w:rPr>
        <w:t xml:space="preserve">14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4910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المطلوب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الطريقة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تبسيط عبارة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نحلل الأعداد إلى عوامل أولية ونطبق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معادلة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ونحتفظ بالحلول في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فيها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 معادلة من الدرجة الثانية.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متراجحة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نأخذ التقاطع 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رفع حالة عدم التعيين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نُظهر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نُظهر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مقارب مائل ووضع نسبي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والوضع النسبي من إشارة الفرق في جدول.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السنوات في مسألة فائدة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bookmarkEnd w:id="33"/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5D63B7FE-5E5E-4E8A-9D1D-0AD1E245E754}"/>
    <w:embedBold r:id="rFnt2" w:fontKey="{8B3D334D-556E-48DF-AEE2-B1910AC9CB88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2026-10-30T19:01:23Z</dcterms:created>
  <dcterms:modified xsi:type="dcterms:W3CDTF">2026-10-30T19:01:23Z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