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الأصلية لدالة على مجال، والدوال الأصلية لدوال مألوفة.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 والعمليات على الدوال.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تحقق شرطًا معيّنًا، والتطبيق الاقتصادي (الكلفة الهامشية والكلفة الإجمالية).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تكامل دالة: من المساحة إلى الكتابة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التكامل: الخطية، علاقة شال، الترتيب.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المتوسطة لدالة على مجال وتفسيرها.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المساحات: منحنٍ ومحور الفواصل، ثم بين منحنيين.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تمرينان محلولان، أخطاء شائعة، ثم خلاصة الطرائق.</w:t>
            </w:r>
          </w:p>
        </w:tc>
      </w:tr>
    </w:tbl>
    <w:p>
      <w:pPr>
        <w:bidi/>
        <w:spacing w:before="0" w:after="0"/>
      </w:pPr>
    </w:p>
    <w:bookmarkStart w:id="20" w:name="الدالة-الأصلية-لدالة-على-مجال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الدالة الأصلية لدالة على مجال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w:rPr>
                        <w:highlight w:val="yellow"/>
                      </w:rPr>
                      <m:t> </m:t>
                    </m:r>
                    <m:r>
                      <m:rPr>
                        <m:nor/>
                        <m:sty m:val="p"/>
                      </m:rPr>
                      <w:rPr>
                        <w:highlight w:val="yellow"/>
                      </w:rPr>
                      <m:t>من أجل كل 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nor/>
                        <m:sty m:val="p"/>
                      </m:rPr>
                      <w:rPr>
                        <w:highlight w:val="yellow"/>
                      </w:rPr>
                      <m:t> من </m:t>
                    </m:r>
                    <m:r>
                      <w:rPr>
                        <w:highlight w:val="yellow"/>
                      </w:rP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البحث عن دالة أصلية هو «عكس» عملية الاشتقاق.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الدوال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مشتقتها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 هي دوال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والفرق بين اثنتين منها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عدد ثابت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كل 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دوالًا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كل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↦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c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دالتين أصليتين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التحقق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دالة أصلية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دوال-الأصلية-لدوال-مألوف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الدوال الأصلية لدوال مألوفة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الدوال الأصلية (</w:t>
            </w:r>
            <m:oMath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حقيقي كيفي)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120"/>
              <w:gridCol w:w="3283"/>
              <w:gridCol w:w="3120"/>
            </w:tblGrid>
            <w:tr>
              <w:trPr>
                <w:tblHeader w:val="true"/>
              </w:trPr>
              <w:tc>
                <w:tcPr>
                  <w:tcW w:w="31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328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الدوال الأصلية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31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(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عدد حقيقي)</w:t>
                  </w:r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N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</w:t>
                  </w:r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oMath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</w:tr>
            <w:tr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>
                  <w:tcW w:w="32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31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نطبق القاعدة على كل حد: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3</m:t>
                    </m:r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5</m:t>
                    </m:r>
                    <m:r>
                      <w:rPr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دوال-الأصلية-والعمليات-على-الدوال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الدوال الأصلية والعمليات على الدوال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دالة قابلة للاشتقاق على مجال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85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85"/>
              <w:gridCol w:w="3245"/>
              <w:gridCol w:w="2865"/>
            </w:tblGrid>
            <w:tr>
              <w:trPr>
                <w:tblHeader w:val="true"/>
              </w:trPr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شروط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  <w:tc>
                <w:tcPr>
                  <w:tcW w:w="32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الدوال الأصلية</w:t>
                  </w:r>
                </w:p>
              </w:tc>
              <w:tc>
                <w:tcPr>
                  <w:tcW w:w="28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u</m:t>
                    </m:r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r>
                          <m:t>u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N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</w:t>
                  </w:r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num>
                      <m:den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num>
                      <m:den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u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u</m:t>
                            </m:r>
                          </m:e>
                        </m:rad>
                      </m:den>
                    </m:f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التعرف على الشكل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داخل القوس أو المقام أو الجذر) ونحسب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أحد الأشكال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مع ضرب وقسمة على عدد ثابت إذا لزم.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نطبق القاعدة ثم نتحقق بالاشتقاق.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 محلولة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u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</m:d>
                      </m:e>
                      <m:sup>
                        <m:r>
                          <w:rPr>
                            <w:highlight w:val="yellow"/>
                          </w:rPr>
                          <m:t>3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u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4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(المثال 4):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دالة-أصلية-تحقق-شرطا-معينا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دالة أصلية تحقق شرطًا معيّنًا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تقبل دوالًا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من أجل كل 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حقيقي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 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b>
                    <m:e>
                      <m:r>
                        <w:rPr>
                          <w:highlight w:val="yellow"/>
                        </w:rPr>
                        <m:t>y</m:t>
                      </m:r>
                    </m:e>
                    <m:sub>
                      <m:r>
                        <w:rPr>
                          <w:highlight w:val="yellow"/>
                        </w:rPr>
                        <m:t>0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 الدوال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نعوض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تطبيق اقتصادي: الكلفة الهامشية والكلفة الإجمالية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الكلفة الهامشية هي مشتقة الكلفة الإجمالية: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الكلفة الإجمالية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 للكلفة الهامشية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الكلفة الثابتة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هي الشرط الذي يعيّن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الربح: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ثمن بيع الوحدة.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الكلفة الهامشية لمؤسسة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والكلفة الثابتة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q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q</m:t>
                      </m:r>
                    </m:e>
                    <m:sup>
                      <m:r>
                        <w:rPr>
                          <w:highlight w:val="yellow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6</m:t>
                  </m:r>
                  <m:sSup>
                    <m:e>
                      <m:r>
                        <w:rPr>
                          <w:highlight w:val="yellow"/>
                        </w:rPr>
                        <m:t>q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20</m:t>
                  </m:r>
                  <m:r>
                    <w:rPr>
                      <w:highlight w:val="yellow"/>
                    </w:rPr>
                    <m:t>q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 ثمن بيع الوحدة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</m:oMath>
            <w:r>
              <w:rPr>
                <w:rtl/>
              </w:rPr>
              <w:t xml:space="preserve">:  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68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sSup>
                    <m:e>
                      <m:r>
                        <w:rPr>
                          <w:highlight w:val="yellow"/>
                        </w:rPr>
                        <m:t>q</m:t>
                      </m:r>
                    </m:e>
                    <m:sup>
                      <m:r>
                        <w:rPr>
                          <w:highlight w:val="yellow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6</m:t>
                  </m:r>
                  <m:sSup>
                    <m:e>
                      <m:r>
                        <w:rPr>
                          <w:highlight w:val="yellow"/>
                        </w:rPr>
                        <m:t>q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48</m:t>
                  </m:r>
                  <m:r>
                    <w:rPr>
                      <w:highlight w:val="yellow"/>
                    </w:rPr>
                    <m:t>q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تكامل-دال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تكامل دالة</w:t>
      </w: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المساحة إلى الدالة الأصلية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الحيز تحت المستقيم شبه منحرف قاعدتاه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وارتفاعه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40280" cy="16276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9f63ccc9101f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  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نفس النتيجة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تكامل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w:rPr>
                            <w:highlight w:val="yellow"/>
                          </w:rPr>
                          <m:t>a</m:t>
                        </m:r>
                      </m:sub>
                      <m:sup>
                        <m:r>
                          <w:rPr>
                            <w:highlight w:val="yellow"/>
                          </w:rPr>
                          <m:t>b</m:t>
                        </m:r>
                      </m:sup>
                      <m:e>
                        <m:r>
                          <w:rPr>
                            <w:highlight w:val="yellow"/>
                          </w:rP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w:rPr>
                        <w:highlight w:val="yellow"/>
                      </w:rPr>
                      <m:t> </m:t>
                    </m:r>
                    <m:r>
                      <w:rPr>
                        <w:highlight w:val="yellow"/>
                      </w:rPr>
                      <m:t>d</m:t>
                    </m:r>
                    <m:r>
                      <w:rPr>
                        <w:highlight w:val="yellow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[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sSubSup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]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a</m:t>
                        </m:r>
                      </m:sub>
                      <m:sup>
                        <m:r>
                          <w:rPr>
                            <w:highlight w:val="yellow"/>
                          </w:rPr>
                          <m:t>b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a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(لا يتعلق بالدالة الأصلية المختارة، لأن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يختفي في الفرق.)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دور المتغير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المتغير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w:r>
              <w:rPr>
                <w:b/>
                <w:bCs/>
                <w:rtl/>
              </w:rPr>
              <w:t xml:space="preserve">صامت</w:t>
            </w:r>
            <w:r>
              <w:rPr>
                <w:rtl/>
              </w:rPr>
              <w:t xml:space="preserve">»: يمكن تعويضه بأي حرف: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</m:oMath>
            <w:r>
              <w:rPr>
                <w:rtl/>
              </w:rPr>
              <w:t xml:space="preserve">. النتيجة عدد حقيقي يتعلق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التفسير البياني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 وموجبة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(بوحدة المساحات).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7340"/>
              <w:gridCol w:w="2636"/>
            </w:tblGrid>
            <w:tr>
              <w:tc>
                <w:tcPr>
                  <w:tcW w:w="7340" w:type="dxa"/>
                </w:tcPr>
                <w:p>
                  <w:pPr>
                    <w:bidi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t</m:t>
                                    </m:r>
                                  </m:e>
                                  <m:sup>
                                    <m:r>
                                      <m:t>3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borderBox>
                      <m:e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8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den>
                        </m:f>
                      </m:e>
                    </m:borderBox>
                  </m:oMath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هو مساحة الحيز الملوّن تحت المنحني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بين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b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borderBox>
                      <m:e>
                        <m:r>
                          <w:rPr>
                            <w:highlight w:val="yellow"/>
                          </w:rPr>
                          <m:t>6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>
                  <w:tcW w:w="2636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458468" cy="116128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852cc3d843729fe1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58468" cy="116128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اقتصادي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الكلفة الهامشية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: 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10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10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زيادة الكلفة الإجمالية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ننتقل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وحدات.</w:t>
            </w:r>
          </w:p>
        </w:tc>
      </w:tr>
    </w:tbl>
    <w:p>
      <w:pPr>
        <w:bidi/>
        <w:spacing w:before="0" w:after="0"/>
      </w:pPr>
    </w:p>
    <w:bookmarkEnd w:id="24"/>
    <w:bookmarkStart w:id="25" w:name="خواص-التكامل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خواص التكامل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g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مستمرتان 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k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حقيقي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7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k</m:t>
                    </m:r>
                  </m:e>
                </m:nary>
                <m:r>
                  <m:t> 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علاقة شال: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الترتيب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1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أمثلة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الخطية: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الترتيب: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علاقة شال: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5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5"/>
    <w:bookmarkStart w:id="26" w:name="القيمة-المتوسطة-لدالة-على-مجال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القيمة المتوسطة لدالة على مجال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القيمة المتوسطة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μ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b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a</m:t>
                        </m:r>
                      </m:den>
                    </m:f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w:rPr>
                            <w:highlight w:val="yellow"/>
                          </w:rPr>
                          <m:t>a</m:t>
                        </m:r>
                      </m:sub>
                      <m:sup>
                        <m:r>
                          <w:rPr>
                            <w:highlight w:val="yellow"/>
                          </w:rPr>
                          <m:t>b</m:t>
                        </m:r>
                      </m:sup>
                      <m:e>
                        <m:r>
                          <w:rPr>
                            <w:highlight w:val="yellow"/>
                          </w:rP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w:rPr>
                        <w:highlight w:val="yellow"/>
                      </w:rPr>
                      <m:t> </m:t>
                    </m:r>
                    <m:r>
                      <w:rPr>
                        <w:highlight w:val="yellow"/>
                      </w:rPr>
                      <m:t>d</m:t>
                    </m:r>
                    <m:r>
                      <w:rPr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التفسير البياني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6923"/>
              <w:gridCol w:w="3054"/>
            </w:tblGrid>
            <w:tr>
              <w:tc>
                <w:tcPr>
                  <w:tcW w:w="6923" w:type="dxa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موجبة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μ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أي أن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المستطيل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الذي قاعدته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وارتفاعه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μ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له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نفس مساحة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الحيز تحت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بين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>
                  <w:tcW w:w="3054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723644" cy="978408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6ab9ea3894820e3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23644" cy="97840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اقتصادي: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q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10</m:t>
                    </m:r>
                  </m:sub>
                  <m:sup>
                    <m:r>
                      <m:t>20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200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40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متوسط الكلفة الهامشية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يتغير الإنتاج من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وحدة.</w:t>
            </w:r>
          </w:p>
        </w:tc>
      </w:tr>
    </w:tbl>
    <w:p>
      <w:pPr>
        <w:bidi/>
        <w:spacing w:before="0" w:after="0"/>
      </w:pPr>
    </w:p>
    <w:bookmarkEnd w:id="26"/>
    <w:bookmarkStart w:id="27" w:name="حساب-المساح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حساب المساحات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وحدة المساحات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معلم 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وحدة المساحات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المستطيل الذي بعداه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. مثلا: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w:rPr>
                      <w:highlight w:val="yellow"/>
                    </w:rPr>
                    <m:t> </m:t>
                  </m:r>
                  <m:r>
                    <m:rPr>
                      <m:nor/>
                      <m:sty m:val="p"/>
                    </m:rPr>
                    <w:rPr>
                      <w:highlight w:val="yellow"/>
                    </w:rPr>
                    <m:t>u.a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w:rPr>
                          <w:highlight w:val="yellow"/>
                        </w:rPr>
                        <m:t>cm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مساحة الحيز بين منحنٍ ومحور الفواصل والمستقيمين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&lt;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الفواصل):  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w:rPr>
                          <w:highlight w:val="yellow"/>
                        </w:rPr>
                        <m:t>a</m:t>
                      </m:r>
                    </m:sub>
                    <m:sup>
                      <m:r>
                        <w:rPr>
                          <w:highlight w:val="yellow"/>
                        </w:rPr>
                        <m:t>b</m:t>
                      </m:r>
                    </m:sup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</m:nary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w:rPr>
                      <w:highlight w:val="yellow"/>
                    </w:rPr>
                    <m:t> </m:t>
                  </m:r>
                  <m:r>
                    <w:rPr>
                      <w:highlight w:val="yellow"/>
                    </w:rPr>
                    <m:t>d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الفواصل):  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w:rPr>
                          <w:highlight w:val="yellow"/>
                        </w:rPr>
                        <m:t>a</m:t>
                      </m:r>
                    </m:sub>
                    <m:sup>
                      <m:r>
                        <w:rPr>
                          <w:highlight w:val="yellow"/>
                        </w:rPr>
                        <m:t>b</m:t>
                      </m:r>
                    </m:sup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</m:nary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w:rPr>
                      <w:highlight w:val="yellow"/>
                    </w:rPr>
                    <m:t> </m:t>
                  </m:r>
                  <m:r>
                    <w:rPr>
                      <w:highlight w:val="yellow"/>
                    </w:rPr>
                    <m:t>d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تغيرت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نقسم المجال عند النقط التي تنعدم فيها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(علاقة شال) ونجمع المساحات.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مساحة الحيز بين منحنيين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فإن مساحة الحيز المحدد بالمنحنيين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w:rPr>
                        <w:highlight w:val="yellow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w:rPr>
                            <w:highlight w:val="yellow"/>
                          </w:rPr>
                          <m:t>a</m:t>
                        </m:r>
                      </m:sub>
                      <m:sup>
                        <m:r>
                          <w:rPr>
                            <w:highlight w:val="yellow"/>
                          </w:rPr>
                          <m:t>b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f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g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</m:d>
                          </m:e>
                        </m:d>
                      </m:e>
                    </m:nary>
                    <m:r>
                      <w:rPr>
                        <w:highlight w:val="yellow"/>
                      </w:rPr>
                      <m:t> </m:t>
                    </m:r>
                    <m:r>
                      <w:rPr>
                        <w:highlight w:val="yellow"/>
                      </w:rPr>
                      <m:t>d</m:t>
                    </m:r>
                    <m:r>
                      <w:rPr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خطوات حساب مساحة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نعيّن نقط التقاطع (حلول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جدول الوضع النسبي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نرسم المنحنيات ونلوّن الحيز (لون مختلف لكل جزء).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نحسب التكامل (الأعلى ناقص الأسفل) بوحدة المساحات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نحوّل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طُلب.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1: منحنٍ يغيّر إشارته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 احسب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12"/>
              <w:gridCol w:w="793"/>
              <w:gridCol w:w="2265"/>
              <w:gridCol w:w="793"/>
              <w:gridCol w:w="2265"/>
              <w:gridCol w:w="793"/>
            </w:tblGrid>
            <w:tr>
              <w:trPr>
                <w:tblHeader w:val="true"/>
              </w:trPr>
              <w:tc>
                <w:tcPr>
                  <w:tcW w:w="261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79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2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79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22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79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61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22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2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261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الوضع النسبي</w:t>
                  </w:r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22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تحت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22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فوق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1833372" cy="14493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f829546d6947e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37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w:rPr>
                        <w:highlight w:val="yellow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b>
                      <m:e>
                        <m:r>
                          <m:rPr>
                            <m:sty m:val="p"/>
                            <m:scr m:val="script"/>
                          </m:rPr>
                          <w:rPr>
                            <w:highlight w:val="yellow"/>
                          </w:rPr>
                          <m:t>A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sSub>
                      <m:e>
                        <m:r>
                          <m:rPr>
                            <m:sty m:val="p"/>
                            <m:scr m:val="script"/>
                          </m:rPr>
                          <w:rPr>
                            <w:highlight w:val="yellow"/>
                          </w:rPr>
                          <m:t>A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4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m:rPr>
                        <m:nor/>
                        <m:sty m:val="p"/>
                      </m:rPr>
                      <w:rPr>
                        <w:highlight w:val="yellow"/>
                      </w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انتبه: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هو المساحة، لأن الجزء تحت محور الفواصل «يُطرح».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2: بين منحنيين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 احسب مساحة الحيز المحصور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التقاطع: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865"/>
              <w:gridCol w:w="870"/>
              <w:gridCol w:w="2295"/>
              <w:gridCol w:w="870"/>
            </w:tblGrid>
            <w:tr>
              <w:trPr>
                <w:tblHeader w:val="true"/>
              </w:trPr>
              <w:tc>
                <w:tcPr>
                  <w:tcW w:w="28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29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الوضع النسبي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فوق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2441448" cy="1371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87aa7c4d8be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1448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9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r>
                      <w:rPr>
                        <w:highlight w:val="yellow"/>
                      </w:rPr>
                      <m:t> </m:t>
                    </m:r>
                    <m:r>
                      <m:rPr>
                        <m:nor/>
                        <m:sty m:val="p"/>
                      </m:rPr>
                      <w:rPr>
                        <w:highlight w:val="yellow"/>
                      </w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7"/>
    <w:bookmarkStart w:id="28" w:name="تمارين-محلول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الكلفة الهامشية لإنتاج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مئة وحدة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q</m:t>
              </m:r>
              <m:r>
                <m:rPr>
                  <m:sty m:val="p"/>
                </m:rPr>
                <m:t>≤</m:t>
              </m:r>
              <m:r>
                <m:t>10</m:t>
              </m:r>
            </m:oMath>
            <w:r>
              <w:rPr>
                <w:rtl/>
              </w:rPr>
              <w:t xml:space="preserve">)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(بآلاف الدنانير)، والكلفة الثابتة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دينار.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اتجاه تغير 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2</m:t>
                  </m:r>
                </m:sub>
                <m:sup>
                  <m:r>
                    <m:t>6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اقتصاديًا.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القيمة المتوسطة للكلفة الهامشية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≥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(الكلفة الثابتة):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C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q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p>
                      <m:e>
                        <m:r>
                          <w:rPr>
                            <w:highlight w:val="yellow"/>
                          </w:rPr>
                          <m:t>q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12</m:t>
                    </m:r>
                    <m:sSup>
                      <m:e>
                        <m:r>
                          <w:rPr>
                            <w:highlight w:val="yellow"/>
                          </w:rPr>
                          <m:t>q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60</m:t>
                    </m:r>
                    <m:r>
                      <w:rPr>
                        <w:highlight w:val="yellow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50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2</m:t>
                  </m:r>
                </m:sub>
                <m:sup>
                  <m:r>
                    <m:t>6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60</m:t>
              </m:r>
              <m:r>
                <m:t>q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216</m:t>
                  </m:r>
                  <m:r>
                    <m:rPr>
                      <m:sty m:val="p"/>
                    </m:rPr>
                    <m:t>−</m:t>
                  </m:r>
                  <m:r>
                    <m:t>432</m:t>
                  </m:r>
                  <m:r>
                    <m:rPr>
                      <m:sty m:val="p"/>
                    </m:rPr>
                    <m:t>+</m:t>
                  </m:r>
                  <m:r>
                    <m:t>360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  <m:r>
                    <m:rPr>
                      <m:sty m:val="p"/>
                    </m:rPr>
                    <m:t>+</m:t>
                  </m:r>
                  <m:r>
                    <m:t>120</m:t>
                  </m:r>
                </m:e>
              </m:d>
              <m:r>
                <m:rPr>
                  <m:sty m:val="p"/>
                </m:rPr>
                <m:t>=</m:t>
              </m:r>
              <m:r>
                <m:t>144</m:t>
              </m:r>
              <m:r>
                <m:rPr>
                  <m:sty m:val="p"/>
                </m:rPr>
                <m:t>−</m:t>
              </m:r>
              <m:r>
                <m:t>80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64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2</m:t>
                  </m:r>
                </m:sub>
                <m:sup>
                  <m:r>
                    <m:t>6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194</m:t>
              </m:r>
              <m:r>
                <m:rPr>
                  <m:sty m:val="p"/>
                </m:rPr>
                <m:t>−</m:t>
              </m:r>
              <m:r>
                <m:t>130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زيادة الكلفة الإجمالية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ألف دينار لما ينتقل الإنتاج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600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وحدة</w:t>
            </w:r>
            <w:r>
              <w:rPr>
                <w:rtl/>
              </w:rPr>
              <w:t xml:space="preserve">. وهي أيضًا مساحة الحيز الملوّن (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16352" cy="166878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7000718a65059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6352" cy="1668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2</m:t>
                  </m:r>
                </m:sub>
                <m:sup>
                  <m:r>
                    <m:t>6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64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دينار: متوسط الكلفة الهامشية بين</w:t>
            </w:r>
            <w:r>
              <w:rPr>
                <w:rtl/>
              </w:rPr>
              <w:t xml:space="preserve"> </w:t>
            </w:r>
            <m:oMath>
              <m:r>
                <m:t>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في معلم 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الوضع النسبي لهما.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12"/>
              <w:gridCol w:w="793"/>
              <w:gridCol w:w="2265"/>
              <w:gridCol w:w="793"/>
              <w:gridCol w:w="2265"/>
              <w:gridCol w:w="793"/>
            </w:tblGrid>
            <w:tr>
              <w:trPr>
                <w:tblHeader w:val="true"/>
              </w:trPr>
              <w:tc>
                <w:tcPr>
                  <w:tcW w:w="261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79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2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79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22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79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61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22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2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>
                  <w:tcW w:w="261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الوضع النسبي</w:t>
                  </w:r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22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فوق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22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تحت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oMath>
                </w:p>
              </w:tc>
              <w:tc>
                <w:tcPr>
                  <w:tcW w:w="793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w:rPr>
                        <w:highlight w:val="yellow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8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r>
                      <w:rPr>
                        <w:highlight w:val="yellow"/>
                      </w:rPr>
                      <m:t> </m:t>
                    </m:r>
                    <m:r>
                      <m:rPr>
                        <m:nor/>
                        <m:sty m:val="p"/>
                      </m:rPr>
                      <w:rPr>
                        <w:highlight w:val="yellow"/>
                      </w:rPr>
                      <m:t>u.a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16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r>
                      <w:rPr>
                        <w:highlight w:val="yellow"/>
                      </w:rP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w:rPr>
                            <w:highlight w:val="yellow"/>
                          </w:rPr>
                          <m:t>cm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033"/>
              <w:gridCol w:w="684"/>
              <w:gridCol w:w="1628"/>
              <w:gridCol w:w="617"/>
              <w:gridCol w:w="1628"/>
              <w:gridCol w:w="617"/>
              <w:gridCol w:w="1628"/>
              <w:gridCol w:w="684"/>
            </w:tblGrid>
            <w:tr>
              <w:trPr>
                <w:tblHeader w:val="true"/>
              </w:trPr>
              <w:tc>
                <w:tcPr>
                  <w:tcW w:w="203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68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62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61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62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61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62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68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203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684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62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61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62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61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62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684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203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الوضع النسبي</w:t>
                  </w:r>
                </w:p>
              </w:tc>
              <w:tc>
                <w:tcPr>
                  <w:tcW w:w="684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62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فوق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17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62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تحت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17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62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فوق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84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55748" cy="14310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7c36cb3b99103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5748" cy="1431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9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×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9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w:rPr>
                          <w:highlight w:val="yellow"/>
                        </w:rPr>
                        <m:t>cm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أخطاء-شائع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أخطاء شائعة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تجنّب هذه الأخطاء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نسيان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 استعمال شرط مثل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الكلفة الثابتة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)، ولـ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دالة أصلية لجداء ليست جداء الدوال الأصلية: نبحث عن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نَنشر.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نسيان معامل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لا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أخذ التكامل مساحةً دون دراسة الإشارة: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</m:oMath>
            <w:r>
              <w:rPr>
                <w:rtl/>
              </w:rPr>
              <w:t xml:space="preserve">، وإذا تغيرت الإشارة نقسم المجال.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في المساحة بين منحنيين: طرح الأعلى من الأسفل؛ الصحيح «الأعلى ناقص الأسفل» حسب جدول الوضع النسبي.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نسيان تحويل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وحدتي المحورين.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في القيمة المتوسطة: نسيان القسمة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ونبيّن أن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التحقق أن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الجدول + الخطية حدًّا حدًّا؛ أو نتعرف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num>
                      <m:den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u</m:t>
                            </m:r>
                          </m:e>
                        </m:rad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تعيين دالة أصلية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نعوض الشرط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لإيجاد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دالة أصلية تحقق شرطًا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C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والكلفة الثابتة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تعيّن الثابت.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الكلفة الإجمالية من الكلفة الهامشية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حساب تكامل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القيمة المتوسطة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جدول الوضع النسبي (إشارة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)، رسم وتلوين، ثم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وعلاقة شال.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مساحة بين منحنٍ ومحور الفواصل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 التقاطع،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oMath>
                  <w:r>
                    <w:rPr>
                      <w:rtl/>
                    </w:rPr>
                    <w:t xml:space="preserve">، ثم تكامل (الأعلى ناقص الأسفل).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مساحة بين منحنيين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</m:e>
                    </m:acc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⃗"/>
                      </m:accPr>
                      <m:e>
                        <m:r>
                          <m:t>j</m:t>
                        </m:r>
                      </m:e>
                    </m:acc>
                    <m:r>
                      <m:rPr>
                        <m:sty m:val="p"/>
                      </m:rPr>
                      <m:t>∥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التحويل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0"/>
    <w:sectPr>
      <w:headerReference w:type="default" r:id="rId16"/>
      <w:footerReference w:type="default" r:id="rId1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89F61E61-9E9A-4144-9ECE-24B5F2BDF1E9}"/>
    <w:embedBold r:id="rFnt2" w:fontKey="{E7C82A69-E4B3-4F4A-BFAE-C187731A471F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2026-10-29T09:09:45Z</dcterms:created>
  <dcterms:modified xsi:type="dcterms:W3CDTF">2026-10-29T09:09:45Z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