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الدوال الأصلية والحساب التكاملي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ملخص شامل مع أمثلة وأشكال وتمارين محلولة خطوة بخطوة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تسيير واقتصاد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محتوى الملخص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الدالة الأصلية لدالة على مجال، والدوال الأصلية لدوال مألوفة.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الدوال الأصلية والعمليات على الدوال.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دالة أصلية تحقق شرطًا معيّنًا، والتطبيق الاقتصادي (الكلفة الهامشية والكلفة الإجمالية).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تكامل دالة: من المساحة إلى الكتابة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d</m:t>
              </m:r>
              <m:r>
                <m:t>t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خواص التكامل: الخطية، علاقة شال، الترتيب.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القيمة المتوسطة لدالة على مجال وتفسيرها.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حساب المساحات: منحنٍ ومحور الفواصل، ثم بين منحنيين.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تمرينان محلولان، أخطاء شائعة، ثم خلاصة الطرائق.</w:t>
            </w:r>
          </w:p>
        </w:tc>
      </w:tr>
    </w:tbl>
    <w:p>
      <w:pPr>
        <w:bidi/>
        <w:spacing w:before="0" w:after="0"/>
      </w:pPr>
    </w:p>
    <w:bookmarkStart w:id="20" w:name="الدالة-الأصلية-لدالة-على-مجال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الدالة الأصلية لدالة على مجال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 نسمي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دالة أصلية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وتحقق:</w:t>
            </w:r>
          </w:p>
          <w:p>
            <w:pPr>
              <w:bidi/>
              <w:jc w:val="center"/>
            </w:pP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</w:p>
          <w:p>
            <w:pPr>
              <w:bidi/>
            </w:pPr>
            <w:r>
              <w:rPr>
                <w:rtl/>
              </w:rPr>
              <w:t xml:space="preserve">البحث عن دالة أصلية هو «عكس» عملية الاشتقاق.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الدوال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كلها مشتقتها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: هي دوال 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والفرق بين اثنتين منها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عدد ثابت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كل دالة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مستمرة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دوالًا أصلية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كل الدوال الأصلية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الدوال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↦</m:t>
                  </m:r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c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ثابت.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دالتين أصليتين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oMath>
            <w:r>
              <w:rPr>
                <w:rtl/>
              </w:rPr>
              <w:t xml:space="preserve">، و</w:t>
            </w:r>
            <m:oMath>
              <m:r>
                <m:t>k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التحقق أن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دالة أصلية لـ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: 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0"/>
    <w:bookmarkStart w:id="21" w:name="الدوال-الأصلية-لدوال-مألوفة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الدوال الأصلية لدوال مألوفة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جدول الدوال الأصلية (</w:t>
            </w:r>
            <m:oMath>
              <m:r>
                <w:rPr>
                  <w:b/>
                  <w:bCs/>
                  <w:color w:val="FFFFFF"/>
                </w:rPr>
                <m:t>c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عدد حقيقي كيفي)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952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3120"/>
              <w:gridCol w:w="3283"/>
              <w:gridCol w:w="3120"/>
            </w:tblGrid>
            <w:tr>
              <w:trPr>
                <w:tblHeader w:val="true"/>
              </w:trPr>
              <w:tc>
                <w:tcPr>
                  <w:tcW w:w="312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المجال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>
                  <w:tcW w:w="328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الدوال الأصلية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>
                  <w:tcW w:w="312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الدالة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</w:tr>
            <w:tr>
              <w:tc>
                <w:tcPr>
                  <w:tcW w:w="312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  <m:scr m:val="double-struck"/>
                      </m:rPr>
                      <m:t>R</m:t>
                    </m:r>
                  </m:oMath>
                </w:p>
              </w:tc>
              <w:tc>
                <w:tcPr>
                  <w:tcW w:w="328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</w:p>
              </w:tc>
              <w:tc>
                <w:tcPr>
                  <w:tcW w:w="312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 (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عدد حقيقي)</w:t>
                  </w:r>
                </w:p>
              </w:tc>
            </w:tr>
            <w:tr>
              <w:tc>
                <w:tcPr>
                  <w:tcW w:w="312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  <m:scr m:val="double-struck"/>
                      </m:rPr>
                      <m:t>R</m:t>
                    </m:r>
                  </m:oMath>
                </w:p>
              </w:tc>
              <w:tc>
                <w:tcPr>
                  <w:tcW w:w="328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</w:p>
              </w:tc>
              <w:tc>
                <w:tcPr>
                  <w:tcW w:w="312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</m:oMath>
                </w:p>
              </w:tc>
            </w:tr>
            <w:tr>
              <w:tc>
                <w:tcPr>
                  <w:tcW w:w="312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  <m:scr m:val="double-struck"/>
                      </m:rPr>
                      <m:t>R</m:t>
                    </m:r>
                  </m:oMath>
                </w:p>
              </w:tc>
              <w:tc>
                <w:tcPr>
                  <w:tcW w:w="328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</w:p>
              </w:tc>
              <w:tc>
                <w:tcPr>
                  <w:tcW w:w="312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t> </m:t>
                    </m:r>
                    <m:r>
                      <m:t> 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sSup>
                          <m:e>
                            <m:r>
                              <m:rPr>
                                <m:sty m:val="p"/>
                                <m:scr m:val="double-struck"/>
                              </m:rPr>
                              <m:t>N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e>
                    </m:d>
                  </m:oMath>
                </w:p>
              </w:tc>
            </w:tr>
            <w:tr>
              <w:tc>
                <w:tcPr>
                  <w:tcW w:w="312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[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]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oMath>
                </w:p>
              </w:tc>
              <w:tc>
                <w:tcPr>
                  <w:tcW w:w="328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</w:p>
              </w:tc>
              <w:tc>
                <w:tcPr>
                  <w:tcW w:w="312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oMath>
                </w:p>
              </w:tc>
            </w:tr>
            <w:tr>
              <w:tc>
                <w:tcPr>
                  <w:tcW w:w="312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[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]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oMath>
                </w:p>
              </w:tc>
              <w:tc>
                <w:tcPr>
                  <w:tcW w:w="328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</w:p>
              </w:tc>
              <w:tc>
                <w:tcPr>
                  <w:tcW w:w="312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 (</w:t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N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oMath>
                  <w:r>
                    <w:rPr>
                      <w:rtl/>
                    </w:rPr>
                    <w:t xml:space="preserve">)</w:t>
                  </w:r>
                </w:p>
              </w:tc>
            </w:tr>
            <w:tr>
              <w:tc>
                <w:tcPr>
                  <w:tcW w:w="312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]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oMath>
                </w:p>
              </w:tc>
              <w:tc>
                <w:tcPr>
                  <w:tcW w:w="328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</w:p>
              </w:tc>
              <w:tc>
                <w:tcPr>
                  <w:tcW w:w="312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x</m:t>
                            </m:r>
                          </m:e>
                        </m:rad>
                      </m:den>
                    </m:f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أمثلة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3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 نطبق القاعدة على كل حد: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3</m:t>
                    </m:r>
                    <m:sSup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w:rPr>
                        <w:highlight w:val="yellow"/>
                      </w:rPr>
                      <m:t>5</m:t>
                    </m:r>
                    <m:r>
                      <w:rPr>
                        <w:highlight w:val="yellow"/>
                      </w:rPr>
                      <m:t>x</m:t>
                    </m:r>
                  </m:e>
                </m:borderBox>
              </m:oMath>
            </m:oMathPara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): 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3</m:t>
                      </m:r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  <m:sSup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 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highlight w:val="yellow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2</m:t>
                      </m:r>
                    </m:num>
                    <m:den>
                      <m:r>
                        <w:rPr>
                          <w:highlight w:val="yellow"/>
                        </w:rPr>
                        <m:t>x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1"/>
    <w:bookmarkStart w:id="22" w:name="الدوال-الأصلية-والعمليات-على-الدوال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الدوال الأصلية والعمليات على الدوال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u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دالة قابلة للاشتقاق على مجال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I</m:t>
              </m:r>
            </m:oMath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821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485"/>
              <w:gridCol w:w="3245"/>
              <w:gridCol w:w="2485"/>
            </w:tblGrid>
            <w:tr>
              <w:trPr>
                <w:tblHeader w:val="true"/>
              </w:trPr>
              <w:tc>
                <w:tcPr>
                  <w:tcW w:w="248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شروط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u</m:t>
                    </m:r>
                  </m:oMath>
                </w:p>
              </w:tc>
              <w:tc>
                <w:tcPr>
                  <w:tcW w:w="32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الدوال الأصلية</w:t>
                  </w:r>
                </w:p>
              </w:tc>
              <w:tc>
                <w:tcPr>
                  <w:tcW w:w="248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الدالة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</w:p>
              </w:tc>
            </w:tr>
            <w:tr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–</w:t>
                  </w:r>
                </w:p>
              </w:tc>
              <w:tc>
                <w:tcPr>
                  <w:tcW w:w="32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u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</w:p>
              </w:tc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u</m:t>
                    </m:r>
                    <m:r>
                      <m:rPr>
                        <m:sty m:val="p"/>
                      </m:rPr>
                      <m:t>′</m:t>
                    </m:r>
                    <m:r>
                      <m:t>u</m:t>
                    </m:r>
                  </m:oMath>
                </w:p>
              </w:tc>
            </w:tr>
            <w:tr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–</w:t>
                  </w:r>
                </w:p>
              </w:tc>
              <w:tc>
                <w:tcPr>
                  <w:tcW w:w="32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sSup>
                      <m:e>
                        <m:r>
                          <m:t>u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</w:p>
              </w:tc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u</m:t>
                    </m:r>
                    <m:r>
                      <m:rPr>
                        <m:sty m:val="p"/>
                      </m:rPr>
                      <m:t>′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t> </m:t>
                    </m:r>
                    <m:r>
                      <m:t> 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sSup>
                          <m:e>
                            <m:r>
                              <m:rPr>
                                <m:sty m:val="p"/>
                                <m:scr m:val="double-struck"/>
                              </m:rPr>
                              <m:t>N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e>
                    </m:d>
                  </m:oMath>
                </w:p>
              </w:tc>
            </w:tr>
            <w:tr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u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>
                  <w:tcW w:w="32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u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</w:p>
              </w:tc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num>
                      <m:den>
                        <m:sSup>
                          <m:e>
                            <m:r>
                              <m:t>u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oMath>
                </w:p>
              </w:tc>
            </w:tr>
            <w:tr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u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>
                  <w:tcW w:w="32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sSup>
                          <m:e>
                            <m:r>
                              <m:t>u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</w:p>
              </w:tc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num>
                      <m:den>
                        <m:sSup>
                          <m:e>
                            <m:r>
                              <m:t>u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  <m:r>
                      <m:t> </m:t>
                    </m:r>
                    <m:r>
                      <m:t> 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≥</m:t>
                        </m:r>
                        <m:r>
                          <m:t>2</m:t>
                        </m:r>
                      </m:e>
                    </m:d>
                  </m:oMath>
                </w:p>
              </w:tc>
            </w:tr>
            <w:tr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u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>
                  <w:tcW w:w="32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u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</w:p>
              </w:tc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u</m:t>
                            </m:r>
                          </m:e>
                        </m:rad>
                      </m:den>
                    </m:f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التعرف على الشكل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نختار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(ما داخل القوس أو المقام أو الجذر) ونحسب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أحد الأشكال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sSup>
                <m:e>
                  <m:r>
                    <m:t>u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u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، مع ضرب وقسمة على عدد ثابت إذا لزم.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نطبق القاعدة ثم نتحقق بالاشتقاق.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أمثلة محلولة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5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  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u</m:t>
              </m:r>
              <m:r>
                <m:rPr>
                  <m:sty m:val="p"/>
                </m:rPr>
                <m:t>′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u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w:rPr>
                                    <w:highlight w:val="yellow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highlight w:val="yellow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+</m:t>
                            </m:r>
                            <m:r>
                              <w:rPr>
                                <w:highlight w:val="yellow"/>
                              </w:rPr>
                              <m:t>1</m:t>
                            </m:r>
                          </m:e>
                        </m:d>
                      </m:e>
                      <m:sup>
                        <m:r>
                          <w:rPr>
                            <w:highlight w:val="yellow"/>
                          </w:rPr>
                          <m:t>3</m:t>
                        </m:r>
                      </m:sup>
                    </m:sSup>
                  </m:e>
                </m:borderBox>
              </m:oMath>
            </m:oMathPara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  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′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w:rPr>
                                      <w:highlight w:val="yellow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highlight w:val="yellow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highlight w:val="yellow"/>
                                </w:rPr>
                                <m:t>+</m:t>
                              </m:r>
                              <m:r>
                                <w:rPr>
                                  <w:highlight w:val="yellow"/>
                                </w:rPr>
                                <m:t>x</m:t>
                              </m:r>
                            </m:e>
                          </m:d>
                        </m:e>
                        <m:sup>
                          <m:r>
                            <w:rPr>
                              <w:highlight w:val="yellow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highlight w:val="yellow"/>
                        </w:rP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3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3</m:t>
                      </m:r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  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sSup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  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u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M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u</m:t>
                    </m:r>
                  </m:e>
                </m:rad>
                <m:r>
                  <m:rPr>
                    <m:sty m:val="p"/>
                  </m:rPr>
                  <m:t>=</m:t>
                </m:r>
                <m:borderBox>
                  <m:e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w:rPr>
                                <w:highlight w:val="yellow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4</m:t>
                        </m:r>
                      </m:e>
                    </m:ra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تحقق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(المثال 4):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2"/>
    <w:bookmarkStart w:id="23" w:name="دالة-أصلية-تحقق-شرطا-معينا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دالة أصلية تحقق شرطًا معيّنًا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تقبل دوالًا أصلية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 من أجل كل عدد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وكل عدد حقيقي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توجد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دالة أصلية وحيدة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b>
                          <m:r>
                            <w:rPr>
                              <w:highlight w:val="yellow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sSub>
                    <m:e>
                      <m:r>
                        <w:rPr>
                          <w:highlight w:val="yellow"/>
                        </w:rPr>
                        <m:t>y</m:t>
                      </m:r>
                    </m:e>
                    <m:sub>
                      <m:r>
                        <w:rPr>
                          <w:highlight w:val="yellow"/>
                        </w:rPr>
                        <m:t>0</m:t>
                      </m:r>
                    </m:sub>
                  </m:sSub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طريقة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نكتب الدوال الأصلية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نعوض الشرط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فنجد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نكتب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 عيّن الدالة الأصلية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ومنه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sSup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sSup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w:rPr>
                        <w:highlight w:val="yellow"/>
                      </w:rPr>
                      <m:t>3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تطبيق اقتصادي: الكلفة الهامشية والكلفة الإجمالية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الكلفة الهامشية هي مشتقة الكلفة الإجمالية: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الكلفة الإجمالية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دالة أصلية للكلفة الهامشية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b/>
                <w:bCs/>
                <w:rtl/>
              </w:rPr>
              <w:t xml:space="preserve">الكلفة الثابتة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 هي الشرط الذي يعيّن الثابت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الربح: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ثمن بيع الوحدة.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الكلفة الهامشية لمؤسسة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12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والكلفة الثابتة</w:t>
            </w:r>
            <w:r>
              <w:rPr>
                <w:rtl/>
              </w:rPr>
              <w:t xml:space="preserve"> </w:t>
            </w:r>
            <m:oMath>
              <m:r>
                <m:t>100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q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20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 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C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q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sSup>
                    <m:e>
                      <m:r>
                        <w:rPr>
                          <w:highlight w:val="yellow"/>
                        </w:rPr>
                        <m:t>q</m:t>
                      </m:r>
                    </m:e>
                    <m:sup>
                      <m:r>
                        <w:rPr>
                          <w:highlight w:val="yellow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6</m:t>
                  </m:r>
                  <m:sSup>
                    <m:e>
                      <m:r>
                        <w:rPr>
                          <w:highlight w:val="yellow"/>
                        </w:rPr>
                        <m:t>q</m:t>
                      </m:r>
                    </m:e>
                    <m:sup>
                      <m:r>
                        <w:rPr>
                          <w:highlight w:val="yellow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20</m:t>
                  </m:r>
                  <m:r>
                    <w:rPr>
                      <w:highlight w:val="yellow"/>
                    </w:rPr>
                    <m:t>q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100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إذا كان ثمن بيع الوحدة</w:t>
            </w:r>
            <w:r>
              <w:rPr>
                <w:rtl/>
              </w:rPr>
              <w:t xml:space="preserve"> </w:t>
            </w:r>
            <m:oMath>
              <m:r>
                <m:t>68</m:t>
              </m:r>
            </m:oMath>
            <w:r>
              <w:rPr>
                <w:rtl/>
              </w:rPr>
              <w:t xml:space="preserve">:  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t>68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sSup>
                    <m:e>
                      <m:r>
                        <w:rPr>
                          <w:highlight w:val="yellow"/>
                        </w:rPr>
                        <m:t>q</m:t>
                      </m:r>
                    </m:e>
                    <m:sup>
                      <m:r>
                        <w:rPr>
                          <w:highlight w:val="yellow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6</m:t>
                  </m:r>
                  <m:sSup>
                    <m:e>
                      <m:r>
                        <w:rPr>
                          <w:highlight w:val="yellow"/>
                        </w:rPr>
                        <m:t>q</m:t>
                      </m:r>
                    </m:e>
                    <m:sup>
                      <m:r>
                        <w:rPr>
                          <w:highlight w:val="yellow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48</m:t>
                  </m:r>
                  <m:r>
                    <w:rPr>
                      <w:highlight w:val="yellow"/>
                    </w:rPr>
                    <m:t>q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100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3"/>
    <w:bookmarkStart w:id="24" w:name="تكامل-دالة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تكامل دالة</w:t>
      </w: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من المساحة إلى الدالة الأصلية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 الحيز تحت المستقيم شبه منحرف قاعدتاه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وارتفاعه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40280" cy="16276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c9f63ccc9101f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6276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rPr>
                  <m:sty m:val="p"/>
                  <m:scr m:val="script"/>
                </m:rP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7</m:t>
                      </m:r>
                    </m:e>
                  </m:d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.  والدالة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</w:t>
            </w:r>
            <w:r>
              <w:rPr>
                <w:b/>
                <w:bCs/>
                <w:rtl/>
              </w:rPr>
              <w:t xml:space="preserve">نفس النتيجة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مستمرة 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 العدد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تكامل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ونكتب: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w:rPr>
                            <w:highlight w:val="yellow"/>
                          </w:rPr>
                          <m:t>a</m:t>
                        </m:r>
                      </m:sub>
                      <m:sup>
                        <m:r>
                          <w:rPr>
                            <w:highlight w:val="yellow"/>
                          </w:rPr>
                          <m:t>b</m:t>
                        </m:r>
                      </m:sup>
                      <m:e>
                        <m:r>
                          <w:rPr>
                            <w:highlight w:val="yellow"/>
                          </w:rPr>
                          <m:t>f</m:t>
                        </m:r>
                      </m:e>
                    </m:nary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t</m:t>
                        </m:r>
                      </m:e>
                    </m:d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d</m:t>
                    </m:r>
                    <m:r>
                      <w:rPr>
                        <w:highlight w:val="yellow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[</m:t>
                    </m:r>
                    <m:r>
                      <w:rPr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t</m:t>
                        </m:r>
                      </m:e>
                    </m:d>
                    <m:sSubSup>
                      <m:e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]</m:t>
                        </m:r>
                      </m:e>
                      <m:sub>
                        <m:r>
                          <w:rPr>
                            <w:highlight w:val="yellow"/>
                          </w:rPr>
                          <m:t>a</m:t>
                        </m:r>
                      </m:sub>
                      <m:sup>
                        <m:r>
                          <w:rPr>
                            <w:highlight w:val="yellow"/>
                          </w:rPr>
                          <m:t>b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a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(لا يتعلق بالدالة الأصلية المختارة، لأن الثابت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يختفي في الفرق.)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دور المتغير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المتغير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«</w:t>
            </w:r>
            <w:r>
              <w:rPr>
                <w:b/>
                <w:bCs/>
                <w:rtl/>
              </w:rPr>
              <w:t xml:space="preserve">صامت</w:t>
            </w:r>
            <w:r>
              <w:rPr>
                <w:rtl/>
              </w:rPr>
              <w:t xml:space="preserve">»: يمكن تعويضه بأي حرف: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t> </m:t>
              </m:r>
              <m:r>
                <m:t>d</m:t>
              </m:r>
              <m:r>
                <m:t>q</m:t>
              </m:r>
            </m:oMath>
            <w:r>
              <w:rPr>
                <w:rtl/>
              </w:rPr>
              <w:t xml:space="preserve">. النتيجة عدد حقيقي يتعلق بـ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التفسير البياني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مستمرة وموجبة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≤</m:t>
              </m:r>
              <m:r>
                <m:t>b</m:t>
              </m:r>
            </m:oMath>
            <w:r>
              <w:rPr>
                <w:rtl/>
              </w:rPr>
              <w:t xml:space="preserve">) فإن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d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مساحة الحيز المحدد بالمنحني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ومحور الفواصل والمستقيمين اللذين معادلتاهما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(بوحدة المساحات).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7340"/>
              <w:gridCol w:w="2636"/>
            </w:tblGrid>
            <w:tr>
              <w:tc>
                <w:tcPr>
                  <w:tcW w:w="7340" w:type="dxa"/>
                </w:tcPr>
                <w:p>
                  <w:pPr>
                    <w:bidi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  <m:e>
                        <m:sSup>
                          <m:e>
                            <m:r>
                              <m:t>t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nary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p>
                                  <m:e>
                                    <m:r>
                                      <m:t>t</m:t>
                                    </m:r>
                                  </m:e>
                                  <m:sup>
                                    <m:r>
                                      <m:t>3</m:t>
                                    </m:r>
                                  </m:sup>
                                </m:sSup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=</m:t>
                    </m:r>
                    <m:borderBox>
                      <m:e>
                        <m:f>
                          <m:fPr>
                            <m:type m:val="bar"/>
                          </m:fPr>
                          <m:num>
                            <m:r>
                              <w:rPr>
                                <w:highlight w:val="yellow"/>
                              </w:rPr>
                              <m:t>8</m:t>
                            </m:r>
                          </m:num>
                          <m:den>
                            <m:r>
                              <w:rPr>
                                <w:highlight w:val="yellow"/>
                              </w:rPr>
                              <m:t>3</m:t>
                            </m:r>
                          </m:den>
                        </m:f>
                      </m:e>
                    </m:borderBox>
                  </m:oMath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هو مساحة الحيز الملوّن تحت المنحني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بين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m:oMath>
                    <m:r>
                      <m:t>2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3</m:t>
                            </m:r>
                            <m:sSup>
                              <m:e>
                                <m:r>
                                  <m:t>t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</m:nary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t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  <m:sSubSup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borderBox>
                      <m:e>
                        <m:r>
                          <w:rPr>
                            <w:highlight w:val="yellow"/>
                          </w:rPr>
                          <m:t>6</m:t>
                        </m:r>
                      </m:e>
                    </m:borderBox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>
                  <w:tcW w:w="2636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458468" cy="1161288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852cc3d843729fe1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8468" cy="11612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 اقتصادي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الكلفة الهامشية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10</m:t>
              </m:r>
            </m:oMath>
            <w:r>
              <w:rPr>
                <w:rtl/>
              </w:rPr>
              <w:t xml:space="preserve">:  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10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t> </m:t>
              </m:r>
              <m:r>
                <m:t>d</m:t>
              </m:r>
              <m:r>
                <m:t>q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10</m:t>
              </m:r>
              <m:r>
                <m:t>q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10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200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:  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10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t> </m:t>
              </m:r>
              <m:r>
                <m:t>d</m:t>
              </m:r>
              <m:r>
                <m:t>q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</m:e>
              </m:d>
              <m:r>
                <m:rPr>
                  <m:sty m:val="p"/>
                </m:rPr>
                <m:t>−</m:t>
              </m:r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 هو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زيادة الكلفة الإجمالية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 ننتقل 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وحدات.</w:t>
            </w:r>
          </w:p>
        </w:tc>
      </w:tr>
    </w:tbl>
    <w:p>
      <w:pPr>
        <w:bidi/>
        <w:spacing w:before="0" w:after="0"/>
      </w:pPr>
    </w:p>
    <w:bookmarkEnd w:id="24"/>
    <w:bookmarkStart w:id="25" w:name="خواص-التكامل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خواص التكامل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m:oMath>
              <m:r>
                <w:rPr>
                  <w:b/>
                  <w:bCs/>
                  <w:color w:val="FFFFFF"/>
                </w:rPr>
                <m:t>g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مستمرتان على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I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،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a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،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b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،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c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من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I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،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k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عدد حقيقي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7"/>
              </w:numPr>
              <w:bidi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a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 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b</m:t>
                  </m:r>
                </m:sub>
                <m:sup>
                  <m:r>
                    <m:t>a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b/>
                <w:bCs/>
                <w:rtl/>
              </w:rPr>
              <w:t xml:space="preserve">الخطية: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a</m:t>
                    </m:r>
                  </m:sub>
                  <m:sup>
                    <m:r>
                      <m:t>b</m:t>
                    </m:r>
                  </m: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a</m:t>
                    </m:r>
                  </m:sub>
                  <m:sup>
                    <m:r>
                      <m:t>b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a</m:t>
                    </m:r>
                  </m:sub>
                  <m:sup>
                    <m:r>
                      <m:t>b</m:t>
                    </m:r>
                  </m:sup>
                  <m:e>
                    <m:r>
                      <m:t>g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a</m:t>
                    </m:r>
                  </m:sub>
                  <m:sup>
                    <m:r>
                      <m:t>b</m:t>
                    </m:r>
                  </m:sup>
                  <m:e>
                    <m:r>
                      <m:t>k</m:t>
                    </m:r>
                  </m:e>
                </m:nary>
                <m:r>
                  <m:t> 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a</m:t>
                    </m:r>
                  </m:sub>
                  <m:sup>
                    <m:r>
                      <m:t>b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</m:oMath>
            </m:oMathPara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b/>
                <w:bCs/>
                <w:rtl/>
              </w:rPr>
              <w:t xml:space="preserve">علاقة شال: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b</m:t>
                  </m:r>
                </m:sub>
                <m:sup>
                  <m:r>
                    <m:t>c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c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b/>
                <w:bCs/>
                <w:rtl/>
              </w:rPr>
              <w:t xml:space="preserve">الترتيب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≤</m:t>
              </m:r>
              <m:r>
                <m:t>b</m:t>
              </m:r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1"/>
                <w:numId w:val="100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1"/>
                <w:numId w:val="100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≤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أمثلة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9"/>
              </w:numPr>
              <w:bidi/>
            </w:pPr>
            <w:r>
              <w:rPr>
                <w:b/>
                <w:bCs/>
                <w:rtl/>
              </w:rPr>
              <w:t xml:space="preserve">الخطية: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x</m:t>
                      </m:r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b/>
                <w:bCs/>
                <w:rtl/>
              </w:rPr>
              <w:t xml:space="preserve">الترتيب: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≤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b/>
                <w:bCs/>
                <w:rtl/>
              </w:rPr>
              <w:t xml:space="preserve">علاقة شال: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3</m:t>
                    </m:r>
                  </m: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3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5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bookmarkEnd w:id="25"/>
    <w:bookmarkStart w:id="26" w:name="القيمة-المتوسطة-لدالة-على-مجال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rPr>
          <w:rtl/>
        </w:rPr>
        <w:tab/>
      </w:r>
      <w:r>
        <w:rPr>
          <w:rtl/>
        </w:rPr>
        <w:t xml:space="preserve">القيمة المتوسطة لدالة على مجال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مستمرة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القيمة المتوسطة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العدد: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μ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a</m:t>
                        </m:r>
                      </m:den>
                    </m:f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w:rPr>
                            <w:highlight w:val="yellow"/>
                          </w:rPr>
                          <m:t>a</m:t>
                        </m:r>
                      </m:sub>
                      <m:sup>
                        <m:r>
                          <w:rPr>
                            <w:highlight w:val="yellow"/>
                          </w:rPr>
                          <m:t>b</m:t>
                        </m:r>
                      </m:sup>
                      <m:e>
                        <m:r>
                          <w:rPr>
                            <w:highlight w:val="yellow"/>
                          </w:rPr>
                          <m:t>f</m:t>
                        </m:r>
                      </m:e>
                    </m:nary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d</m:t>
                    </m:r>
                    <m:r>
                      <w:rPr>
                        <w:highlight w:val="yellow"/>
                      </w:rPr>
                      <m:t>x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التفسير البياني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6923"/>
              <w:gridCol w:w="3054"/>
            </w:tblGrid>
            <w:tr>
              <w:tc>
                <w:tcPr>
                  <w:tcW w:w="6923" w:type="dxa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إذا كانت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موجبة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b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:  </w:t>
                  </w:r>
                  <m:oMath>
                    <m:r>
                      <m:t>μ</m:t>
                    </m:r>
                    <m:r>
                      <m:t>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أي أن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المستطيل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الذي قاعدته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وارتفاعه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μ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له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نفس مساحة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الحيز تحت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بين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m:oMath>
                    <m:r>
                      <m:t>b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>
                  <w:tcW w:w="3054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723644" cy="978408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6ab9ea3894820e3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3644" cy="97840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0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b/>
                <w:bCs/>
                <w:rtl/>
              </w:rPr>
              <w:t xml:space="preserve">اقتصادي: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10</m:t>
                  </m:r>
                  <m:r>
                    <m:rPr>
                      <m:sty m:val="p"/>
                    </m:rPr>
                    <m:t>;</m:t>
                  </m:r>
                  <m:r>
                    <m:t>20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μ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den>
                </m:f>
                <m:r>
                  <m:rPr>
                    <m:sty m:val="p"/>
                  </m:rPr>
                  <m:t>[</m:t>
                </m:r>
                <m:sSup>
                  <m:e>
                    <m:r>
                      <m:t>q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10</m:t>
                </m:r>
                <m:r>
                  <m:t>q</m:t>
                </m:r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10</m:t>
                    </m:r>
                  </m:sub>
                  <m:sup>
                    <m:r>
                      <m:t>20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600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200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highlight w:val="yellow"/>
                      </w:rPr>
                      <m:t>40</m:t>
                    </m:r>
                  </m:e>
                </m:borderBox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متوسط الكلفة الهامشية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 يتغير الإنتاج من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وحدة.</w:t>
            </w:r>
          </w:p>
        </w:tc>
      </w:tr>
    </w:tbl>
    <w:p>
      <w:pPr>
        <w:bidi/>
        <w:spacing w:before="0" w:after="0"/>
      </w:pPr>
    </w:p>
    <w:bookmarkEnd w:id="26"/>
    <w:bookmarkStart w:id="27" w:name="حساب-المساحات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rPr>
          <w:rtl/>
        </w:rPr>
        <w:tab/>
      </w:r>
      <w:r>
        <w:rPr>
          <w:rtl/>
        </w:rPr>
        <w:t xml:space="preserve">حساب المساحات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وحدة المساحات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في معلم متعامد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 وحدة المساحات</w:t>
            </w:r>
            <w:r>
              <w:rPr>
                <w:rtl/>
              </w:rPr>
              <w:t xml:space="preserve"> </w:t>
            </w:r>
            <m:oMath>
              <m:r>
                <m:rPr>
                  <m:nor/>
                  <m:sty m:val="p"/>
                </m:rPr>
                <m:t>u.a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مساحة المستطيل الذي بعداه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∥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j</m:t>
                  </m:r>
                </m:e>
              </m:acc>
              <m:r>
                <m:rPr>
                  <m:sty m:val="p"/>
                </m:rPr>
                <m:t>∥</m:t>
              </m:r>
            </m:oMath>
            <w:r>
              <w:rPr>
                <w:rtl/>
              </w:rPr>
              <w:t xml:space="preserve">. مثلا: 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j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1</m:t>
                  </m:r>
                  <m:r>
                    <w:rPr>
                      <w:highlight w:val="yellow"/>
                    </w:rPr>
                    <m:t> </m:t>
                  </m:r>
                  <m:r>
                    <m:rPr>
                      <m:nor/>
                      <m:sty m:val="p"/>
                    </m:rPr>
                    <w:rPr>
                      <w:highlight w:val="yellow"/>
                    </w:rPr>
                    <m:t>u.a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2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w:rPr>
                          <w:highlight w:val="yellow"/>
                        </w:rPr>
                        <m:t>cm</m:t>
                      </m:r>
                    </m:e>
                    <m:sup>
                      <m:r>
                        <w:rPr>
                          <w:highlight w:val="yellow"/>
                        </w:rP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مساحة الحيز بين منحنٍ ومحور الفواصل والمستقيمين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a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m:oMath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b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(</w:t>
            </w:r>
            <m:oMath>
              <m:r>
                <w:rPr>
                  <w:b/>
                  <w:bCs/>
                  <w:color w:val="FFFFFF"/>
                </w:rPr>
                <m:t>a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&lt;</m:t>
              </m:r>
              <m:r>
                <w:rPr>
                  <w:b/>
                  <w:bCs/>
                  <w:color w:val="FFFFFF"/>
                </w:rPr>
                <m:t>b</m:t>
              </m:r>
            </m:oMath>
            <w:r>
              <w:rPr>
                <w:b/>
                <w:bCs/>
                <w:color w:val="FFFFFF"/>
                <w:rtl/>
              </w:rPr>
              <w:t xml:space="preserve">)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 محور الفواصل):  </w:t>
            </w:r>
            <m:oMath>
              <m:borderBox>
                <m:e>
                  <m:r>
                    <m:rPr>
                      <m:sty m:val="p"/>
                      <m:scr m:val="script"/>
                    </m:rPr>
                    <w:rPr>
                      <w:highlight w:val="yellow"/>
                    </w:rPr>
                    <m:t>A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w:rPr>
                          <w:highlight w:val="yellow"/>
                        </w:rPr>
                        <m:t>a</m:t>
                      </m:r>
                    </m:sub>
                    <m:sup>
                      <m:r>
                        <w:rPr>
                          <w:highlight w:val="yellow"/>
                        </w:rPr>
                        <m:t>b</m:t>
                      </m:r>
                    </m:sup>
                    <m:e>
                      <m:r>
                        <w:rPr>
                          <w:highlight w:val="yellow"/>
                        </w:rPr>
                        <m:t>f</m:t>
                      </m:r>
                    </m:e>
                  </m:nary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w:rPr>
                      <w:highlight w:val="yellow"/>
                    </w:rPr>
                    <m:t> </m:t>
                  </m:r>
                  <m:r>
                    <w:rPr>
                      <w:highlight w:val="yellow"/>
                    </w:rPr>
                    <m:t>d</m:t>
                  </m:r>
                  <m:r>
                    <w:rPr>
                      <w:highlight w:val="yellow"/>
                    </w:rP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 محور الفواصل):  </w:t>
            </w:r>
            <m:oMath>
              <m:borderBox>
                <m:e>
                  <m:r>
                    <m:rPr>
                      <m:sty m:val="p"/>
                      <m:scr m:val="script"/>
                    </m:rPr>
                    <w:rPr>
                      <w:highlight w:val="yellow"/>
                    </w:rPr>
                    <m:t>A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w:rPr>
                          <w:highlight w:val="yellow"/>
                        </w:rPr>
                        <m:t>a</m:t>
                      </m:r>
                    </m:sub>
                    <m:sup>
                      <m:r>
                        <w:rPr>
                          <w:highlight w:val="yellow"/>
                        </w:rPr>
                        <m:t>b</m:t>
                      </m:r>
                    </m:sup>
                    <m:e>
                      <m:r>
                        <w:rPr>
                          <w:highlight w:val="yellow"/>
                        </w:rPr>
                        <m:t>f</m:t>
                      </m:r>
                    </m:e>
                  </m:nary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w:rPr>
                      <w:highlight w:val="yellow"/>
                    </w:rPr>
                    <m:t> </m:t>
                  </m:r>
                  <m:r>
                    <w:rPr>
                      <w:highlight w:val="yellow"/>
                    </w:rPr>
                    <m:t>d</m:t>
                  </m:r>
                  <m:r>
                    <w:rPr>
                      <w:highlight w:val="yellow"/>
                    </w:rP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إذا تغيرت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: نقسم المجال عند النقط التي تنعدم فيها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(علاقة شال) ونجمع المساحات.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مساحة الحيز بين منحنيين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) فإن مساحة الحيز المحدد بالمنحنيين والمستقيمين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  <m:scr m:val="script"/>
                      </m:rP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w:rPr>
                            <w:highlight w:val="yellow"/>
                          </w:rPr>
                          <m:t>a</m:t>
                        </m:r>
                      </m:sub>
                      <m:sup>
                        <m:r>
                          <w:rPr>
                            <w:highlight w:val="yellow"/>
                          </w:rPr>
                          <m:t>b</m:t>
                        </m:r>
                      </m:sup>
                      <m:e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w:rPr>
                                <w:highlight w:val="yellow"/>
                              </w:rPr>
                              <m:t>f</m:t>
                            </m:r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w:rPr>
                                    <w:highlight w:val="yellow"/>
                                  </w:rPr>
                                  <m:t>x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−</m:t>
                            </m:r>
                            <m:r>
                              <w:rPr>
                                <w:highlight w:val="yellow"/>
                              </w:rPr>
                              <m:t>g</m:t>
                            </m:r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w:rPr>
                                    <w:highlight w:val="yellow"/>
                                  </w:rPr>
                                  <m:t>x</m:t>
                                </m:r>
                              </m:e>
                            </m:d>
                          </m:e>
                        </m:d>
                      </m:e>
                    </m:nary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d</m:t>
                    </m:r>
                    <m:r>
                      <w:rPr>
                        <w:highlight w:val="yellow"/>
                      </w:rPr>
                      <m:t>x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خطوات حساب مساحة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نعيّن نقط التقاطع (حلول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ندرس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) في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جدول الوضع النسبي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نرسم المنحنيات ونلوّن الحيز (لون مختلف لكل جزء).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نحسب التكامل (الأعلى ناقص الأسفل) بوحدة المساحات</w:t>
            </w:r>
            <w:r>
              <w:rPr>
                <w:rtl/>
              </w:rPr>
              <w:t xml:space="preserve"> </w:t>
            </w:r>
            <m:oMath>
              <m:r>
                <m:rPr>
                  <m:nor/>
                  <m:sty m:val="p"/>
                </m:rPr>
                <m:t>u.a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نحوّل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طُلب.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 1: منحنٍ يغيّر إشارته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 احسب مساحة الحيز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ومحور الفواصل والمستقيمين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الوضع النسبي: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d620037f676f8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33372" cy="144932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f829546d6947e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372" cy="1449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  <m:scr m:val="script"/>
                      </m:rP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b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  <m:scr m:val="script"/>
                      </m:rPr>
                      <m:t>A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</m:t>
                    </m:r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  <m:scr m:val="script"/>
                      </m:rP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sSub>
                      <m:e>
                        <m:r>
                          <m:rPr>
                            <m:sty m:val="p"/>
                            <m:scr m:val="script"/>
                          </m:rPr>
                          <w:rPr>
                            <w:highlight w:val="yellow"/>
                          </w:rPr>
                          <m:t>A</m:t>
                        </m:r>
                      </m:e>
                      <m:sub>
                        <m:r>
                          <w:rPr>
                            <w:highlight w:val="yellow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sSub>
                      <m:e>
                        <m:r>
                          <m:rPr>
                            <m:sty m:val="p"/>
                            <m:scr m:val="script"/>
                          </m:rPr>
                          <w:rPr>
                            <w:highlight w:val="yellow"/>
                          </w:rPr>
                          <m:t>A</m:t>
                        </m:r>
                      </m:e>
                      <m:sub>
                        <m:r>
                          <w:rPr>
                            <w:highlight w:val="yellow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2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4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انتبه: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هو المساحة، لأن الجزء تحت محور الفواصل «يُطرح».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 2: بين منحنيين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  احسب مساحة الحيز المحصور بين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التقاطع: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الوضع النسبي: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aa57ce54ef329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41448" cy="1371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c787aa7c4d8be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1448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3</m:t>
                    </m:r>
                  </m: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3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x</m:t>
                        </m:r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sSub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  <m:sub>
                    <m:r>
                      <m:t>0</m:t>
                    </m:r>
                  </m:sub>
                  <m:sup>
                    <m:r>
                      <m:t>3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27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9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bookmarkEnd w:id="27"/>
    <w:bookmarkStart w:id="28" w:name="تمارين-محلولة"/>
    <w:p>
      <w:pPr>
        <w:pStyle w:val="Heading1"/>
        <w:bidi/>
      </w:pPr>
      <w:r>
        <w:rPr>
          <w:rStyle w:val="SectionNumber"/>
          <w:rtl/>
        </w:rPr>
        <w:t xml:space="preserve">9</w:t>
      </w:r>
      <w:r>
        <w:rPr>
          <w:rtl/>
        </w:rPr>
        <w:tab/>
      </w:r>
      <w:r>
        <w:rPr>
          <w:rtl/>
        </w:rPr>
        <w:t xml:space="preserve">تمارين محلولة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1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الكلفة الهامشية لإنتاج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مئة وحدة (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q</m:t>
              </m:r>
              <m:r>
                <m:rPr>
                  <m:sty m:val="p"/>
                </m:rPr>
                <m:t>≤</m:t>
              </m:r>
              <m:r>
                <m:t>10</m:t>
              </m:r>
            </m:oMath>
            <w:r>
              <w:rPr>
                <w:rtl/>
              </w:rPr>
              <w:t xml:space="preserve">) هي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24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60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(بآلاف الدنانير)، والكلفة الثابتة</w:t>
            </w:r>
            <w:r>
              <w:rPr>
                <w:rtl/>
              </w:rPr>
              <w:t xml:space="preserve"> </w:t>
            </w:r>
            <m:oMath>
              <m:r>
                <m:t>50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ألف دينار.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q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واستنتج اتجاه تغير الكلفة الإجمالية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الكلفة الإجمالية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2</m:t>
                  </m:r>
                </m:sub>
                <m:sup>
                  <m:r>
                    <m:t>6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t> </m:t>
              </m:r>
              <m:r>
                <m:t>d</m:t>
              </m:r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النتيجة اقتصاديًا.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القيمة المتوسطة للكلفة الهامشية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q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d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24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48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24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60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C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q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≥</m:t>
              </m:r>
              <m:r>
                <m:t>12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:  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q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60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50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(الكلفة الثابتة):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q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sSup>
                      <m:e>
                        <m:r>
                          <w:rPr>
                            <w:highlight w:val="yellow"/>
                          </w:rPr>
                          <m:t>q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12</m:t>
                    </m:r>
                    <m:sSup>
                      <m:e>
                        <m:r>
                          <w:rPr>
                            <w:highlight w:val="yellow"/>
                          </w:rPr>
                          <m:t>q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w:rPr>
                        <w:highlight w:val="yellow"/>
                      </w:rPr>
                      <m:t>60</m:t>
                    </m:r>
                    <m:r>
                      <w:rPr>
                        <w:highlight w:val="yellow"/>
                      </w:rPr>
                      <m:t>q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w:rPr>
                        <w:highlight w:val="yellow"/>
                      </w:rPr>
                      <m:t>50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2</m:t>
                  </m:r>
                </m:sub>
                <m:sup>
                  <m:r>
                    <m:t>6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t> </m:t>
              </m:r>
              <m:r>
                <m:t>d</m:t>
              </m:r>
              <m:r>
                <m:t>q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p>
                <m:e>
                  <m:r>
                    <m:t>q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60</m:t>
              </m:r>
              <m:r>
                <m:t>q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2</m:t>
                  </m:r>
                </m:sub>
                <m:sup>
                  <m:r>
                    <m:t>6</m:t>
                  </m:r>
                </m:sup>
              </m:sSub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216</m:t>
                  </m:r>
                  <m:r>
                    <m:rPr>
                      <m:sty m:val="p"/>
                    </m:rPr>
                    <m:t>−</m:t>
                  </m:r>
                  <m:r>
                    <m:t>432</m:t>
                  </m:r>
                  <m:r>
                    <m:rPr>
                      <m:sty m:val="p"/>
                    </m:rPr>
                    <m:t>+</m:t>
                  </m:r>
                  <m:r>
                    <m:t>360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48</m:t>
                  </m:r>
                  <m:r>
                    <m:rPr>
                      <m:sty m:val="p"/>
                    </m:rPr>
                    <m:t>+</m:t>
                  </m:r>
                  <m:r>
                    <m:t>120</m:t>
                  </m:r>
                </m:e>
              </m:d>
              <m:r>
                <m:rPr>
                  <m:sty m:val="p"/>
                </m:rPr>
                <m:t>=</m:t>
              </m:r>
              <m:r>
                <m:t>144</m:t>
              </m:r>
              <m:r>
                <m:rPr>
                  <m:sty m:val="p"/>
                </m:rPr>
                <m:t>−</m:t>
              </m:r>
              <m:r>
                <m:t>80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64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2</m:t>
                  </m:r>
                </m:sub>
                <m:sup>
                  <m:r>
                    <m:t>6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t> </m:t>
              </m:r>
              <m:r>
                <m:t>d</m:t>
              </m:r>
              <m:r>
                <m:t>q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</m:e>
              </m:d>
              <m:r>
                <m:rPr>
                  <m:sty m:val="p"/>
                </m:rPr>
                <m:t>−</m:t>
              </m:r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194</m:t>
              </m:r>
              <m:r>
                <m:rPr>
                  <m:sty m:val="p"/>
                </m:rPr>
                <m:t>−</m:t>
              </m:r>
              <m:r>
                <m:t>130</m:t>
              </m:r>
              <m:r>
                <m:rPr>
                  <m:sty m:val="p"/>
                </m:rPr>
                <m:t>=</m:t>
              </m:r>
              <m:r>
                <m:t>64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زيادة الكلفة الإجمالية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64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ألف دينار لما ينتقل الإنتاج من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200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إلى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600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وحدة</w:t>
            </w:r>
            <w:r>
              <w:rPr>
                <w:rtl/>
              </w:rPr>
              <w:t xml:space="preserve">. وهي أيضًا مساحة الحيز الملوّن (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16352" cy="16687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7000718a65059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352" cy="1668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2</m:t>
                  </m:r>
                </m:sub>
                <m:sup>
                  <m:r>
                    <m:t>6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t> </m:t>
              </m:r>
              <m:r>
                <m:t>d</m:t>
              </m:r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64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16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ألف دينار: متوسط الكلفة الهامشية بين</w:t>
            </w:r>
            <w:r>
              <w:rPr>
                <w:rtl/>
              </w:rPr>
              <w:t xml:space="preserve"> </w:t>
            </w:r>
            <m:oMath>
              <m:r>
                <m:t>200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600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2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تمثيلاهما في معلم متعامد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j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مساحة الحيز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ومحور الفواصل والمستقيمين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فاصلتي نقطتي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ادرس الوضع النسبي لهما.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المحصور بين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66728bfba5b27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  <m:scr m:val="script"/>
                      </m:rP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sSub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x</m:t>
                        </m:r>
                      </m:e>
                    </m:d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</m:t>
                    </m:r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  <m:scr m:val="script"/>
                      </m:rPr>
                      <m:t>A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3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9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r>
                      <m:rPr>
                        <m:sty m:val="p"/>
                        <m:scr m:val="script"/>
                      </m:rP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8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3</m:t>
                        </m:r>
                      </m:den>
                    </m:f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16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3</m:t>
                        </m:r>
                      </m:den>
                    </m:f>
                    <m:r>
                      <w:rPr>
                        <w:highlight w:val="yellow"/>
                      </w:rPr>
                      <m:t> 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w:rPr>
                            <w:highlight w:val="yellow"/>
                          </w:rPr>
                          <m:t>cm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297172e57019b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555748" cy="143103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7c36cb3b99103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748" cy="14310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4</m:t>
                    </m:r>
                  </m: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4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sSub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5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t>x</m:t>
                        </m:r>
                      </m:e>
                    </m:d>
                  </m:e>
                  <m:sub>
                    <m:r>
                      <m:t>1</m:t>
                    </m:r>
                  </m:sub>
                  <m:sup>
                    <m:r>
                      <m:t>4</m:t>
                    </m:r>
                  </m:sup>
                </m:sSubSup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64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40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16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r>
                      <m:t>2</m:t>
                    </m:r>
                  </m:den>
                </m:f>
                <m:r>
                  <m:t> </m:t>
                </m:r>
                <m:r>
                  <m:rPr>
                    <m:nor/>
                    <m:sty m:val="p"/>
                  </m:rPr>
                  <m:t>u.a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u.a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  </w:t>
            </w:r>
            <m:oMath>
              <m:borderBox>
                <m:e>
                  <m:r>
                    <m:rPr>
                      <m:sty m:val="p"/>
                      <m:scr m:val="script"/>
                    </m:rPr>
                    <w:rPr>
                      <w:highlight w:val="yellow"/>
                    </w:rPr>
                    <m:t>A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′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9</m:t>
                      </m:r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×</m:t>
                  </m:r>
                  <m:r>
                    <w:rPr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9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w:rPr>
                          <w:highlight w:val="yellow"/>
                        </w:rPr>
                        <m:t>cm</m:t>
                      </m:r>
                    </m:e>
                    <m:sup>
                      <m:r>
                        <w:rPr>
                          <w:highlight w:val="yellow"/>
                        </w:rP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8"/>
    <w:bookmarkStart w:id="29" w:name="أخطاء-شائعة"/>
    <w:p>
      <w:pPr>
        <w:pStyle w:val="Heading1"/>
        <w:bidi/>
      </w:pPr>
      <w:r>
        <w:rPr>
          <w:rStyle w:val="SectionNumber"/>
          <w:rtl/>
        </w:rPr>
        <w:t xml:space="preserve">10</w:t>
      </w:r>
      <w:r>
        <w:rPr>
          <w:rtl/>
        </w:rPr>
        <w:tab/>
      </w:r>
      <w:r>
        <w:rPr>
          <w:rtl/>
        </w:rPr>
        <w:t xml:space="preserve">أخطاء شائعة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تجنّب هذه الأخطاء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نسيان الثابت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قبل استعمال شرط مثل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 الكلفة الثابتة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)، ولـ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دالة أصلية لجداء ليست جداء الدوال الأصلية: نبحث عن الشكل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sSup>
                <m:e>
                  <m:r>
                    <m:t>u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 نَنشر.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نسيان معامل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: دالة أصلية لـ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3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9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) لا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3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حساب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أخذ التكامل مساحةً دون دراسة الإشارة: 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نأخذ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∫</m:t>
              </m:r>
            </m:oMath>
            <w:r>
              <w:rPr>
                <w:rtl/>
              </w:rPr>
              <w:t xml:space="preserve">، وإذا تغيرت الإشارة نقسم المجال.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في المساحة بين منحنيين: طرح الأعلى من الأسفل؛ الصحيح «الأعلى ناقص الأسفل» حسب جدول الوضع النسبي.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نسيان تحويل</w:t>
            </w:r>
            <w:r>
              <w:rPr>
                <w:rtl/>
              </w:rPr>
              <w:t xml:space="preserve"> </w:t>
            </w:r>
            <m:oMath>
              <m:r>
                <m:rPr>
                  <m:nor/>
                  <m:sty m:val="p"/>
                </m:rPr>
                <m:t>u.a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وحدتي المحورين.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في القيمة المتوسطة: نسيان القسمة على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9"/>
    <w:bookmarkStart w:id="30" w:name="خلاصة-الطرائق"/>
    <w:p>
      <w:pPr>
        <w:pStyle w:val="Heading1"/>
        <w:bidi/>
      </w:pPr>
      <w:r>
        <w:rPr>
          <w:rStyle w:val="SectionNumber"/>
          <w:rtl/>
        </w:rPr>
        <w:t xml:space="preserve">11</w:t>
      </w:r>
      <w:r>
        <w:rPr>
          <w:rtl/>
        </w:rPr>
        <w:tab/>
      </w:r>
      <w:r>
        <w:rPr>
          <w:rtl/>
        </w:rPr>
        <w:t xml:space="preserve">خلاصة الطرائق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الطريقة حسب المطلوب</w:t>
            </w:r>
          </w:p>
        </w:tc>
      </w:tr>
      <w:tr>
        <w:tc>
          <w:tcPr>
            <w:tcW w:w="9864" w:type="dxa"/>
            <w:shd w:val="clear" w:color="auto" w:fill="F8F4FA"/>
          </w:tcPr>
          <w:tbl>
            <w:tblPr>
              <w:tblStyle w:val="Table"/>
              <w:tblW w:w="728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4910"/>
              <w:gridCol w:w="2376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الطريقة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المطلوب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نحسب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ونبيّن أن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I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التحقق أن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دالة أصلية لـ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الجدول + الخطية حدًّا حدًّا؛ أو نتعرف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u</m:t>
                    </m:r>
                    <m:r>
                      <m:rPr>
                        <m:sty m:val="p"/>
                      </m:rPr>
                      <m:t>′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num>
                      <m:den>
                        <m:sSup>
                          <m:e>
                            <m:r>
                              <m:t>u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u</m:t>
                            </m:r>
                          </m:e>
                        </m:rad>
                      </m:den>
                    </m:f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تعيين دالة أصلية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=</m:t>
                    </m:r>
                    <m:r>
                      <m:t>G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ثم نعوض الشرط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لإيجاد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c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دالة أصلية تحقق شرطًا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C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دالة أصلية لـ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C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والكلفة الثابتة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تعيّن الثابت.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الكلفة الإجمالية من الكلفة الهامشية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حساب تكامل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μ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den>
                    </m:f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القيمة المتوسطة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جدول الوضع النسبي (إشارة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)، رسم وتلوين، ثم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وعلاقة شال.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مساحة بين منحنٍ ومحور الفواصل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نقط التقاطع، إشارة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</m:oMath>
                  <w:r>
                    <w:rPr>
                      <w:rtl/>
                    </w:rPr>
                    <w:t xml:space="preserve">، ثم تكامل (الأعلى ناقص الأسفل).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مساحة بين منحنيين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u.a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∥</m:t>
                    </m:r>
                    <m:acc>
                      <m:accPr>
                        <m:chr m:val="⃗"/>
                      </m:accPr>
                      <m:e>
                        <m:r>
                          <m:t>i</m:t>
                        </m:r>
                      </m:e>
                    </m:acc>
                    <m:r>
                      <m:rPr>
                        <m:sty m:val="p"/>
                      </m:rPr>
                      <m:t>∥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p"/>
                      </m:rPr>
                      <m:t>∥</m:t>
                    </m:r>
                    <m:acc>
                      <m:accPr>
                        <m:chr m:val="⃗"/>
                      </m:accPr>
                      <m:e>
                        <m:r>
                          <m:t>j</m:t>
                        </m:r>
                      </m:e>
                    </m:acc>
                    <m:r>
                      <m:rPr>
                        <m:sty m:val="p"/>
                      </m:rPr>
                      <m:t>∥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التحويل إلى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rPr>
                            <m:nor/>
                            <m:sty m:val="p"/>
                          </m:rPr>
                          <m:t>cm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End w:id="30"/>
    <w:sectPr>
      <w:headerReference w:type="default" r:id="rId20"/>
      <w:footerReference w:type="default" r:id="rId21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miri">
    <w:embedRegular r:id="rFnt1" w:fontKey="{055ABFEF-253D-4B7D-94F0-304C1AF4AEFB}"/>
    <w:embedBold r:id="rFnt2" w:fontKey="{A7A26E1F-9455-48D5-BB88-6A4B90A675C6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ملخص: الدوال الأصلية والحساب التكاملي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تسيير واقتصاد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TrueTypeFonts/>
  <w:saveSubsetFonts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8"/>
      <w:szCs w:val="28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Fnt1" Type="http://schemas.openxmlformats.org/officeDocument/2006/relationships/font" Target="fonts/font1.odttf"/><Relationship Id="rFnt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2026-10-29T14:13:39Z</dcterms:created>
  <dcterms:modified xsi:type="dcterms:W3CDTF">2026-10-29T14:13:39Z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