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b/>
          <w:bCs/>
          <w:color w:val="1F4E5F"/>
          <w:sz w:val="44"/>
          <w:szCs w:val="44"/>
        </w:rPr>
        <w:t xml:space="preserve">FPGA Hardware Accelerator for Drones</w:t>
      </w:r>
    </w:p>
    <w:p>
      <w:pPr>
        <w:spacing w:after="320"/>
      </w:pPr>
      <w:r>
        <w:rPr>
          <w:color w:val="595959"/>
          <w:sz w:val="28"/>
          <w:szCs w:val="28"/>
        </w:rPr>
        <w:t xml:space="preserve">Product Scope &amp; MVP-to-Market Strategy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Status: Working decision document — supersedes the commercial framing in the original feasibility report</w:t>
      </w:r>
    </w:p>
    <w:p>
      <w:pPr>
        <w:spacing w:after="400"/>
      </w:pPr>
      <w:r>
        <w:rPr>
          <w:color w:val="595959"/>
          <w:sz w:val="20"/>
          <w:szCs w:val="20"/>
        </w:rPr>
        <w:t xml:space="preserve">Date: July 24, 2026</w:t>
      </w:r>
    </w:p>
    <w:p>
      <w:pPr>
        <w:pBdr>
          <w:left w:val="single" w:color="1F4E5F" w:sz="24" w:space="8"/>
        </w:pBdr>
        <w:shd w:fill="EAF1F3" w:val="clear"/>
        <w:spacing w:after="160"/>
      </w:pPr>
      <w:r>
        <w:rPr>
          <w:i/>
          <w:iCs/>
          <w:sz w:val="20"/>
          <w:szCs w:val="20"/>
        </w:rPr>
        <w:t xml:space="preserve">  Note: the underlying technical feasibility survey (FPGA vs. GPU/NPU power, cost, and speed data) lives in the original research report and is not repeated here. This document covers only what was decided since — the approach, the application, the market, and the go-to-market structure — and is the current source of truth for the project.</w:t>
      </w:r>
    </w:p>
    <w:p/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8"/>
          <w:szCs w:val="28"/>
        </w:rPr>
        <w:t xml:space="preserve">1. Technical Approach Selected</w:t>
      </w:r>
    </w:p>
    <w:p>
      <w:pPr>
        <w:spacing w:after="160" w:line="276"/>
      </w:pPr>
      <w:r>
        <w:rPr>
          <w:b/>
          <w:bCs/>
          <w:color w:val="1F4E5F"/>
          <w:sz w:val="22"/>
          <w:szCs w:val="22"/>
        </w:rPr>
        <w:t xml:space="preserve">Chosen: </w:t>
      </w:r>
      <w:r>
        <w:rPr>
          <w:b/>
          <w:bCs/>
          <w:sz w:val="22"/>
          <w:szCs w:val="22"/>
        </w:rPr>
        <w:t xml:space="preserve">Algorithm-hardware co-optimization</w:t>
      </w:r>
      <w:r>
        <w:rPr>
          <w:sz w:val="22"/>
          <w:szCs w:val="22"/>
        </w:rPr>
        <w:t xml:space="preserve"> — a single-workload FPGA CNN detection accelerator, not the multi-workload (detection + SLAM + sensor fusion) partition.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Reuses a peer-reviewed, already-benchmarked reference design (Suh et al.) rather than an unproven multi-pipeline integration.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6–9 month build vs. 12+ months of integration risk for a simultaneous multi-workload chip.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Produces one sellable unit — a customer can evaluate and adopt a single accelerator card without committing to a full architecture change.</w:t>
      </w:r>
    </w:p>
    <w:p>
      <w:pPr>
        <w:spacing w:after="160" w:line="276"/>
      </w:pPr>
      <w:r>
        <w:rPr>
          <w:b/>
          <w:bCs/>
          <w:color w:val="1F4E5F"/>
          <w:sz w:val="22"/>
          <w:szCs w:val="22"/>
        </w:rPr>
        <w:t xml:space="preserve">Deferred, not discarded: </w:t>
      </w:r>
      <w:r>
        <w:rPr>
          <w:sz w:val="22"/>
          <w:szCs w:val="22"/>
        </w:rPr>
        <w:t xml:space="preserve">the multi-workload FPGA partition (detection + SLAM + fusion on one chip) remains the differentiated, harder-to-copy contribution. It is scoped as a v2 upsell once the single-pipeline product has paying accounts — see Section 5.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8"/>
          <w:szCs w:val="28"/>
        </w:rPr>
        <w:t xml:space="preserve">2. Target Application</w:t>
      </w:r>
    </w:p>
    <w:p>
      <w:pPr>
        <w:spacing w:after="160" w:line="276"/>
      </w:pPr>
      <w:r>
        <w:rPr>
          <w:b/>
          <w:bCs/>
          <w:color w:val="1F4E5F"/>
          <w:sz w:val="22"/>
          <w:szCs w:val="22"/>
        </w:rPr>
        <w:t xml:space="preserve">Chosen: </w:t>
      </w:r>
      <w:r>
        <w:rPr>
          <w:b/>
          <w:bCs/>
          <w:sz w:val="22"/>
          <w:szCs w:val="22"/>
        </w:rPr>
        <w:t xml:space="preserve">Defect and anomaly detection for energy-infrastructure inspection</w:t>
      </w:r>
      <w:r>
        <w:rPr>
          <w:sz w:val="22"/>
          <w:szCs w:val="22"/>
        </w:rPr>
        <w:t xml:space="preserve"> — power lines, pipelines, wind turbines. Not agriculture, not consumer/enterprise photography, not defense/surveillance for the MVP.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Why this application, ruled against the alternatives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400"/>
      </w:tblGrid>
      <w:tr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Alternative considered</w:t>
            </w:r>
          </w:p>
        </w:tc>
        <w:tc>
          <w:tcPr>
            <w:tcW w:type="dxa" w:w="39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was ruled out for MVP</w:t>
            </w:r>
          </w:p>
        </w:tc>
        <w:tc>
          <w:tcPr>
            <w:tcW w:type="dxa" w:w="3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Agriculture (largest drone category by manufactured units)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Dominated by DJI Agriculture (300,000+ units) and XAG — both vertically integrated, closed silicon. Most volume is spray/spread payload carriers with no AI compute need; the AI-relevant slice (crop-health/mapping) is a fragmented subset.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addressable at scale</w:t>
            </w:r>
          </w:p>
        </w:tc>
      </w:tr>
      <w:tr>
        <w:tc>
          <w:tcPr>
            <w:tcW w:type="dxa" w:w="2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Consumer / general enterprise</w:t>
            </w:r>
          </w:p>
        </w:tc>
        <w:tc>
          <w:tcPr>
            <w:tcW w:type="dxa" w:w="39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DJI holds an estimated 70–80% global share and builds its own compute; not a reachable customer.</w:t>
            </w:r>
          </w:p>
        </w:tc>
        <w:tc>
          <w:tcPr>
            <w:tcW w:type="dxa" w:w="3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Structurally closed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Defense / search-and-rescue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Highest willingness to pay, but government procurement cycles and export-control complexity are wrong for a fast MVP.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Deferred to later</w:t>
            </w:r>
          </w:p>
        </w:tc>
      </w:tr>
      <w:tr>
        <w:tc>
          <w:tcPr>
            <w:tcW w:type="dxa" w:w="2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Energy-infrastructure inspection (selected)</w:t>
            </w:r>
          </w:p>
        </w:tc>
        <w:tc>
          <w:tcPr>
            <w:tcW w:type="dxa" w:w="39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Compliance-driven, non-discretionary spend; not gated by one closed giant; buyer base includes mid-tier integrators and open (PX4/Pixhawk-class) platforms.</w:t>
            </w:r>
          </w:p>
        </w:tc>
        <w:tc>
          <w:tcPr>
            <w:tcW w:type="dxa" w:w="3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Selected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8"/>
          <w:szCs w:val="28"/>
        </w:rPr>
        <w:t xml:space="preserve">3. Target Market &amp; Buyer</w:t>
      </w:r>
    </w:p>
    <w:p>
      <w:pPr>
        <w:spacing w:after="160" w:line="276"/>
      </w:pPr>
      <w:r>
        <w:rPr>
          <w:b/>
          <w:bCs/>
          <w:color w:val="1F4E5F"/>
          <w:sz w:val="22"/>
          <w:szCs w:val="22"/>
        </w:rPr>
        <w:t xml:space="preserve">You are not selling to drone operators, and not to the top-volume airframe manufacturers. </w:t>
      </w:r>
      <w:r>
        <w:rPr>
          <w:sz w:val="22"/>
          <w:szCs w:val="22"/>
        </w:rPr>
        <w:t xml:space="preserve">The customer is whoever builds the compute layer of the drone, filtered to those who don't already own their own silicon.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Two buyer tracks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900"/>
      </w:tblGrid>
      <w:tr>
        <w:tc>
          <w:tcPr>
            <w:tcW w:type="dxa" w:w="17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43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9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they buy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track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Mid-tier industrial drone integrators building custom inspection platforms on open PX4/Pixhawk-class architectures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in-house silicon team; fast, direct procurement decisions on ROI (flight time, weight, cost)</w:t>
            </w:r>
          </w:p>
        </w:tc>
      </w:tr>
      <w:tr>
        <w:tc>
          <w:tcPr>
            <w:tcW w:type="dxa" w:w="17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 track</w:t>
            </w:r>
          </w:p>
        </w:tc>
        <w:tc>
          <w:tcPr>
            <w:tcW w:type="dxa" w:w="43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Companion-computer / flight-controller suppliers (ModalAI, Auterion, Holybro, CUAV-type companies)</w:t>
            </w:r>
          </w:p>
        </w:tc>
        <w:tc>
          <w:tcPr>
            <w:tcW w:type="dxa" w:w="39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design-in reaches their entire downstream customer base of drone builders instead of one integrator at a time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Explicitly excluded as direct customers for the MVP: DJI, XAG, and other vertically integrated OEMs that build their own compute silicon.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8"/>
          <w:szCs w:val="28"/>
        </w:rPr>
        <w:t xml:space="preserve">4. Business Model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F4E5F"/>
          <w:sz w:val="22"/>
          <w:szCs w:val="22"/>
        </w:rPr>
        <w:t xml:space="preserve">Revenue shape: </w:t>
      </w:r>
      <w:r>
        <w:rPr>
          <w:sz w:val="22"/>
          <w:szCs w:val="22"/>
        </w:rPr>
        <w:t xml:space="preserve">hardware module + recurring defect-analytics subscription, not a one-time board sale. The accelerator is the wedge; the subscription (anomaly flagging, reporting, fleet dashboard) is what makes the business durable past the first sale.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F4E5F"/>
          <w:sz w:val="22"/>
          <w:szCs w:val="22"/>
        </w:rPr>
        <w:t xml:space="preserve">Two commercial tracks, matched to customer funding capacity: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Track 1 — Standard/catalog module: </w:t>
      </w:r>
      <w:r>
        <w:rPr>
          <w:sz w:val="22"/>
          <w:szCs w:val="22"/>
        </w:rPr>
        <w:t xml:space="preserve">one generic bitstream covering the common workload (detection only), sold to customers who can't fund custom development. Lower margin per unit, no sales friction, fastest cash — this is the MVP.</w:t>
      </w:r>
    </w:p>
    <w:p>
      <w:pPr>
        <w:pStyle w:val="ListParagraph"/>
        <w:numPr>
          <w:ilvl w:val="1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Track 2 — Tailored/NRE-funded program: </w:t>
      </w:r>
      <w:r>
        <w:rPr>
          <w:sz w:val="22"/>
          <w:szCs w:val="22"/>
        </w:rPr>
        <w:t xml:space="preserve">customer funds development of a bitstream configured to their exact workload mix and I/O needs. Because the underlying chip is the same off-the-shelf FPGA, “tailoring” means customizing the HLS/logic design, not the silicon — weeks-to-months of engineering per customer rather than a $1–10M, 18–36 month ASIC-style NRE cycle. Higher margin at the customer's volume since no chip resources are wasted on unused logic; this is the strongest differentiator against fixed-function competitors (Hailo, dedicated NPUs), which cannot offer this at all.</w:t>
      </w:r>
    </w:p>
    <w:p>
      <w:pPr>
        <w:spacing w:after="160" w:line="276"/>
      </w:pPr>
      <w:r>
        <w:rPr>
          <w:b/>
          <w:bCs/>
          <w:color w:val="1F4E5F"/>
          <w:sz w:val="22"/>
          <w:szCs w:val="22"/>
        </w:rPr>
        <w:t xml:space="preserve">Sequencing: </w:t>
      </w:r>
      <w:r>
        <w:rPr>
          <w:sz w:val="22"/>
          <w:szCs w:val="22"/>
        </w:rPr>
        <w:t xml:space="preserve">launch Track 1 first to get paying customers and real flight data; use that credibility to sell Track 2 NRE contracts to larger accounts once the core technology is proven.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8"/>
          <w:szCs w:val="28"/>
        </w:rPr>
        <w:t xml:space="preserve">5. Integration Model: A (Retrofit) vs. B (OEM-Embedded)</w:t>
      </w:r>
    </w:p>
    <w:p>
      <w:pPr>
        <w:spacing w:after="160" w:line="276"/>
      </w:pPr>
      <w:r>
        <w:rPr>
          <w:sz w:val="22"/>
          <w:szCs w:val="22"/>
        </w:rPr>
        <w:t xml:space="preserve">Both A and B sell the same accelerator IP. The difference is how it's packaged and sold, not what it computes.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5.1 The concept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00"/>
        <w:gridCol w:w="4700"/>
      </w:tblGrid>
      <w:tr>
        <w:tc>
          <w:tcPr>
            <w:tcW w:type="dxa" w:w="21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1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 A — Retrofit</w:t>
            </w:r>
          </w:p>
        </w:tc>
        <w:tc>
          <w:tcPr>
            <w:tcW w:type="dxa" w:w="47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 B — OEM-embedded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What's sold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add-on accessory card for operational drones already in the field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qualified BOM component, designed in at manufacturing</w:t>
            </w:r>
          </w:p>
        </w:tc>
      </w:tr>
      <w:tr>
        <w:tc>
          <w:tcPr>
            <w:tcW w:type="dxa" w:w="21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Buyer</w:t>
            </w:r>
          </w:p>
        </w:tc>
        <w:tc>
          <w:tcPr>
            <w:tcW w:type="dxa" w:w="51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Operators / integrators, individually</w:t>
            </w:r>
          </w:p>
        </w:tc>
        <w:tc>
          <w:tcPr>
            <w:tcW w:type="dxa" w:w="47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OEMs, via a design-in relationship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positioning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Priced like an accessory — lowest ASP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Priced as avionics — higher ASP, negotiated per OEM volume</w:t>
            </w:r>
          </w:p>
        </w:tc>
      </w:tr>
      <w:tr>
        <w:tc>
          <w:tcPr>
            <w:tcW w:type="dxa" w:w="21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Hardest part</w:t>
            </w:r>
          </w:p>
        </w:tc>
        <w:tc>
          <w:tcPr>
            <w:tcW w:type="dxa" w:w="51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Solving mechanical/thermal/power integration separately for every host drone model</w:t>
            </w:r>
          </w:p>
        </w:tc>
        <w:tc>
          <w:tcPr>
            <w:tcW w:type="dxa" w:w="47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sales cycle — 9–18 months of design-in, qualification, and free engineering support before any unit sells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Compatibility risk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Highest — bolted onto a system not designed for it (connector mismatch, power budget conflicts, EMI/vibration outside a controlled enclosure)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Lowest — built into the spec from day one; the OEM designs the airframe around it</w:t>
            </w:r>
          </w:p>
        </w:tc>
      </w:tr>
      <w:tr>
        <w:tc>
          <w:tcPr>
            <w:tcW w:type="dxa" w:w="21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to first revenue</w:t>
            </w:r>
          </w:p>
        </w:tc>
        <w:tc>
          <w:tcPr>
            <w:tcW w:type="dxa" w:w="51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Fastest</w:t>
            </w:r>
          </w:p>
        </w:tc>
        <w:tc>
          <w:tcPr>
            <w:tcW w:type="dxa" w:w="47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 to land, but recurring and larger once landed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5.2 Technical difference between A and B</w:t>
      </w:r>
    </w:p>
    <w:p>
      <w:pPr>
        <w:spacing w:after="160" w:line="276"/>
      </w:pPr>
      <w:r>
        <w:rPr>
          <w:sz w:val="22"/>
          <w:szCs w:val="22"/>
        </w:rPr>
        <w:t xml:space="preserve">The FPGA accelerator core — the HLS/RTL logic, the quantized CNN, the AXI-Stream pipeline — is identical in both. What differs is everything around the chip: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000"/>
        <w:gridCol w:w="4600"/>
      </w:tblGrid>
      <w:tr>
        <w:tc>
          <w:tcPr>
            <w:tcW w:type="dxa" w:w="23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 A</w:t>
            </w:r>
          </w:p>
        </w:tc>
        <w:tc>
          <w:tcPr>
            <w:tcW w:type="dxa" w:w="4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 B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factor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Standalone enclosed board with its own case and mounting — must survive being added to an arbitrary drone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Bare SOM/daughtercard, no enclosure — mounts directly onto the OEM's PCB stack</w:t>
            </w:r>
          </w:p>
        </w:tc>
      </w:tr>
      <w:tr>
        <w:tc>
          <w:tcPr>
            <w:tcW w:type="dxa" w:w="23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input</w:t>
            </w:r>
          </w:p>
        </w:tc>
        <w:tc>
          <w:tcPr>
            <w:tcW w:type="dxa" w:w="5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Wide, unpredictable input range with its own internal regulation, since the host battery/rail is unknown</w:t>
            </w:r>
          </w:p>
        </w:tc>
        <w:tc>
          <w:tcPr>
            <w:tcW w:type="dxa" w:w="4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Regulated rail supplied to a known spec by the OEM's own power architecture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I/O connectors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Generic connectors (USB, UART, generic MIPI breakout) to fit whatever the drone happens to expose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pinout matched exactly to the OEM's existing camera/LiDAR/flight-controller bus</w:t>
            </w:r>
          </w:p>
        </w:tc>
      </w:tr>
      <w:tr>
        <w:tc>
          <w:tcPr>
            <w:tcW w:type="dxa" w:w="23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Software/driver stack</w:t>
            </w:r>
          </w:p>
        </w:tc>
        <w:tc>
          <w:tcPr>
            <w:tcW w:type="dxa" w:w="5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Generic driver + abstraction layer covering PX4, ArduPilot, and unknown companion-computer setups</w:t>
            </w:r>
          </w:p>
        </w:tc>
        <w:tc>
          <w:tcPr>
            <w:tcW w:type="dxa" w:w="4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integration into the OEM's specific, known firmware stack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EMI/thermal validation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Validated against worst-case assumptions — unknown enclosure, airflow, vibration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Validated once, inside the OEM's known airframe and thermal design</w:t>
            </w:r>
          </w:p>
        </w:tc>
      </w:tr>
      <w:tr>
        <w:tc>
          <w:tcPr>
            <w:tcW w:type="dxa" w:w="23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5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Minimal — third-party accessory, liability mostly sits with the installer</w:t>
            </w:r>
          </w:p>
        </w:tc>
        <w:tc>
          <w:tcPr>
            <w:tcW w:type="dxa" w:w="4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Formal OEM-internal (or higher) qualification, since it becomes part of a certified product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5.3 What it takes to build B out of A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Reused directly from A (~60–70% of the engineering): </w:t>
      </w:r>
      <w:r>
        <w:rPr>
          <w:sz w:val="22"/>
          <w:szCs w:val="22"/>
        </w:rPr>
        <w:t xml:space="preserve">the FPGA bitstream (quantized/pruned CNN, AXI-Stream pipeline, HLS accelerator logic), the Vitis AI toolchain flow and model pruning pipeline, and the core validation methodology (mAP, latency, power benchmarks).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Net-new work required: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Interface re-spec: re-target I/O to the OEM's exact camera/LiDAR/bus pinout — mostly re-wiring existing logic to different pins, not new logic (weeks).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Power redesign: replace the generic wide-input regulation stage with a design matched to the OEM's specific rail — a board respin, not a chip respin.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Physical redesign: convert from boxed/enclosed board to bare module/SOM matching the OEM's mechanical envelope — PCB respin and mechanical CAD, no change to the FPGA logic.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Driver integration: replace the generic driver layer with tight integration into the OEM's specific firmware — typically the most underestimated piece of the effort.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Joint validation/qualification: flight-test and thermal/EMI validation inside the OEM's actual airframe, run jointly with their engineers — a scheduling dependency as much as a technical one.</w:t>
      </w:r>
    </w:p>
    <w:p>
      <w:pPr>
        <w:spacing w:after="160" w:line="276"/>
      </w:pPr>
      <w:r>
        <w:rPr>
          <w:b/>
          <w:bCs/>
          <w:color w:val="1F4E5F"/>
          <w:sz w:val="22"/>
          <w:szCs w:val="22"/>
        </w:rPr>
        <w:t xml:space="preserve">Estimate: </w:t>
      </w:r>
      <w:r>
        <w:rPr>
          <w:sz w:val="22"/>
          <w:szCs w:val="22"/>
        </w:rPr>
        <w:t xml:space="preserve">roughly 3–6 months of focused engineering per straightforward OEM, built on top of A rather than in parallel with it.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8"/>
          <w:szCs w:val="28"/>
        </w:rPr>
        <w:t xml:space="preserve">6. How Model A Launches Model B</w:t>
      </w:r>
    </w:p>
    <w:p>
      <w:pPr>
        <w:spacing w:after="160" w:line="276"/>
      </w:pPr>
      <w:r>
        <w:rPr>
          <w:sz w:val="22"/>
          <w:szCs w:val="22"/>
        </w:rPr>
        <w:t xml:space="preserve">A is not a proof-of-concept to retire once B exists — it stays a running product line (Track 1) while B (Track 2) opens up on the back of it. The dependency runs in one direction: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Credibility: </w:t>
      </w:r>
      <w:r>
        <w:rPr>
          <w:sz w:val="22"/>
          <w:szCs w:val="22"/>
        </w:rPr>
        <w:t xml:space="preserve">no OEM signs a 9–18 month design-in with an unproven startup. A produces the real mAP, power-draw, and flight-hour data that becomes the entire case for a B pitch.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Shared engineering: </w:t>
      </w:r>
      <w:r>
        <w:rPr>
          <w:sz w:val="22"/>
          <w:szCs w:val="22"/>
        </w:rPr>
        <w:t xml:space="preserve">the hard core of B (bitstream, pruning pipeline, validation methodology) is already built and field-tested by the time B conversations start — B is a re-spin of packaging and integration, not a restart.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Cash flow: </w:t>
      </w:r>
      <w:r>
        <w:rPr>
          <w:sz w:val="22"/>
          <w:szCs w:val="22"/>
        </w:rPr>
        <w:t xml:space="preserve">A reaches revenue in 6–9 months and funds the runway needed to survive B's longer 9–18 month sales cycle, rather than raising purely against a slide deck.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Product de-risking: </w:t>
      </w:r>
      <w:r>
        <w:rPr>
          <w:sz w:val="22"/>
          <w:szCs w:val="22"/>
        </w:rPr>
        <w:t xml:space="preserve">field issues (thermal edge cases, quantization accuracy drift) surface on a single retrofit board sold to one operator, not after being embedded in an OEM's production line.</w:t>
      </w:r>
    </w:p>
    <w:p>
      <w:pPr>
        <w:spacing w:after="160" w:line="276"/>
      </w:pPr>
      <w:r>
        <w:rPr>
          <w:b/>
          <w:bCs/>
          <w:color w:val="1F4E5F"/>
          <w:sz w:val="22"/>
          <w:szCs w:val="22"/>
        </w:rPr>
        <w:t xml:space="preserve">Sequencing summary: </w:t>
      </w:r>
      <w:r>
        <w:rPr>
          <w:sz w:val="22"/>
          <w:szCs w:val="22"/>
        </w:rPr>
        <w:t xml:space="preserve">A validates the technology and buys credibility → credibility funds and unlocks B design-in conversations → B becomes the higher-margin, larger-scale revenue line running alongside A, not replacing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95959"/>
        <w:sz w:val="16"/>
        <w:szCs w:val="16"/>
      </w:rPr>
      <w:t xml:space="preserve">FPGA Drone Accelerator — Product &amp; GTM Scope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2026-07-24T00:17:37.976Z</dcterms:created>
  <dcterms:modified xsi:type="dcterms:W3CDTF">2026-07-24T00:17:37.990Z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