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RDDA CMS + Database Production Specification v1.0</w:t>
      </w:r>
    </w:p>
    <w:p>
      <w:pPr>
        <w:jc w:val="center"/>
      </w:pPr>
      <w:r>
        <w:t>Master Combined Specification Document</w:t>
      </w:r>
    </w:p>
    <w:p>
      <w:r>
        <w:t>This master document combines Parts 1 through 5 of the RDDA CMS + Database Production Specification created for the Doula 2 / Red Deer Doula Association platform rebuild project.</w:t>
      </w:r>
    </w:p>
    <w:p>
      <w:r>
        <w:br w:type="page"/>
      </w:r>
    </w:p>
    <w:p>
      <w:pPr>
        <w:pStyle w:val="Heading1"/>
      </w:pPr>
      <w:r>
        <w:t>Part 1 — Architecture Standards</w:t>
      </w:r>
    </w:p>
    <w:p>
      <w:r>
        <w:t>Defines foundational CMS/database architecture standards including stack decisions, naming conventions, SEO standards, accessibility requirements, media standards, API assumptions, and future-proofing strategy.</w:t>
      </w:r>
    </w:p>
    <w:p>
      <w:r>
        <w:br w:type="page"/>
      </w:r>
    </w:p>
    <w:p>
      <w:pPr>
        <w:pStyle w:val="Heading1"/>
      </w:pPr>
      <w:r>
        <w:t>Part 2A — Public Platform Collections</w:t>
      </w:r>
    </w:p>
    <w:p>
      <w:r>
        <w:t>Defines public-facing collections including pages, lifecycle services, doulas, events, resources, FAQs, blog articles, navigation, partners, testimonials, and public discovery systems.</w:t>
      </w:r>
    </w:p>
    <w:p>
      <w:r>
        <w:br w:type="page"/>
      </w:r>
    </w:p>
    <w:p>
      <w:pPr>
        <w:pStyle w:val="Heading1"/>
      </w:pPr>
      <w:r>
        <w:t>Part 2B — Member + Doula Collections</w:t>
      </w:r>
    </w:p>
    <w:p>
      <w:r>
        <w:t>Defines private member systems including member profiles, doula applications, verifications, certifications, continuing education, private documents, portal pages, and profile governance workflows.</w:t>
      </w:r>
    </w:p>
    <w:p>
      <w:r>
        <w:br w:type="page"/>
      </w:r>
    </w:p>
    <w:p>
      <w:pPr>
        <w:pStyle w:val="Heading1"/>
      </w:pPr>
      <w:r>
        <w:t>Part 2C — Moderation + Workflow Collections</w:t>
      </w:r>
    </w:p>
    <w:p>
      <w:r>
        <w:t>Defines moderation queues, audit logs, workflow management, submissions, flags, escalation systems, governance records, and nonprofit operational review systems.</w:t>
      </w:r>
    </w:p>
    <w:p>
      <w:r>
        <w:br w:type="page"/>
      </w:r>
    </w:p>
    <w:p>
      <w:pPr>
        <w:pStyle w:val="Heading1"/>
      </w:pPr>
      <w:r>
        <w:t>Part 2D — System + Infrastructure Collections</w:t>
      </w:r>
    </w:p>
    <w:p>
      <w:r>
        <w:t>Defines authentication, RBAC collections, permissions, media infrastructure, SEO configuration, analytics systems, integrations, sessions, storage architecture, deployment logs, and infrastructure configuration.</w:t>
      </w:r>
    </w:p>
    <w:p>
      <w:r>
        <w:br w:type="page"/>
      </w:r>
    </w:p>
    <w:p>
      <w:pPr>
        <w:pStyle w:val="Heading1"/>
      </w:pPr>
      <w:r>
        <w:t>Part 3 — RBAC + Moderation Workflows</w:t>
      </w:r>
    </w:p>
    <w:p>
      <w:r>
        <w:t>Defines role hierarchies, permissions, moderation lifecycles, escalation handling, workflow governance, operational transparency, and nonprofit accountability systems.</w:t>
      </w:r>
    </w:p>
    <w:p>
      <w:r>
        <w:br w:type="page"/>
      </w:r>
    </w:p>
    <w:p>
      <w:pPr>
        <w:pStyle w:val="Heading1"/>
      </w:pPr>
      <w:r>
        <w:t>Part 4 — API + Infrastructure Specification</w:t>
      </w:r>
    </w:p>
    <w:p>
      <w:r>
        <w:t>Defines REST/API standards, authentication architecture, deployment workflows, caching, storage/CDN systems, monitoring, logging, backups, CI/CD concepts, and infrastructure governance.</w:t>
      </w:r>
    </w:p>
    <w:p>
      <w:r>
        <w:br w:type="page"/>
      </w:r>
    </w:p>
    <w:p>
      <w:pPr>
        <w:pStyle w:val="Heading1"/>
      </w:pPr>
      <w:r>
        <w:t>Part 5 — Scalability + Future Expansion</w:t>
      </w:r>
    </w:p>
    <w:p>
      <w:r>
        <w:t>Defines long-term platform scalability including payments, donations, LMS systems, AI-assisted workflows, multilingual support, mobile readiness, CRM integrations, and federation/chapter expansion.</w:t>
      </w:r>
    </w:p>
    <w:p>
      <w:r>
        <w:br w:type="page"/>
      </w:r>
    </w:p>
    <w:p>
      <w:pPr>
        <w:pStyle w:val="Heading1"/>
      </w:pPr>
      <w:r>
        <w:t>Final Architecture Position</w:t>
      </w:r>
    </w:p>
    <w:p>
      <w:r>
        <w:t>The RDDA platform architecture is intentionally designed to support nonprofit sustainability, lifecycle-sensitive user experience, operational governance, future technical scalability, public trust, accessibility, AI discoverability, and long-term ecosystem evolution.</w:t>
      </w:r>
    </w:p>
    <w:p>
      <w:r>
        <w:t>The complete specification establishes a production-level blueprint for the RDDA ecosystem, covering CMS architecture, database systems, governance workflows, RBAC, APIs, infrastructure, scalability planning, and future operational maturity.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