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36"/>
        </w:rPr>
        <w:t>Fraud Detection in Financial Transactions Using Machine Learning</w:t>
      </w:r>
    </w:p>
    <w:p>
      <w:pPr>
        <w:jc w:val="center"/>
      </w:pPr>
      <w:r>
        <w:rPr>
          <w:i/>
          <w:sz w:val="28"/>
        </w:rPr>
        <w:t>An Analysis of the PaySim Synthetic Financial Dataset</w:t>
      </w:r>
    </w:p>
    <w:p/>
    <w:p>
      <w:pPr>
        <w:jc w:val="center"/>
      </w:pPr>
      <w:r>
        <w:rPr>
          <w:b/>
        </w:rPr>
        <w:t>Authors</w:t>
        <w:br/>
      </w:r>
      <w:r>
        <w:t>Lee Hickey</w:t>
        <w:br/>
        <w:t>Emma Reen</w:t>
        <w:br/>
        <w:t>Sarah O'Hanlon</w:t>
      </w:r>
    </w:p>
    <w:p/>
    <w:p>
      <w:pPr>
        <w:jc w:val="center"/>
      </w:pPr>
      <w:r>
        <w:rPr>
          <w:b/>
        </w:rPr>
        <w:t>Abstract</w:t>
        <w:br/>
      </w:r>
    </w:p>
    <w:p>
      <w:pPr>
        <w:ind w:left="720" w:right="720"/>
        <w:jc w:val="both"/>
      </w:pPr>
      <w:r>
        <w:rPr>
          <w:i/>
          <w:sz w:val="22"/>
        </w:rPr>
        <w:t>Financial fraud poses a significant threat to digital payment systems worldwide. This study investigates machine learning techniques for detecting fraudulent transactions using the PaySim synthetic dataset containing 6.3 million transactions. We compare multiple algorithms including Logistic Regression, Decision Trees, Random Forest, Gradient Boosting, XGBoost, LightGBM, and Neural Networks (TensorFlow/Keras). Feature engineering captures behavioral transaction patterns through balance dynamics, account behavior indicators, and temporal features. SHAP analysis provides model interpretability, while concept drift detection using rolling window evaluation and Page-Hinkley tests monitors performance degradation. Results demonstrate that tree-based ensemble methods achieve superior performance, with SMOTE and class weighting effectively addressing the 770:1 class imbalance.</w:t>
      </w:r>
    </w:p>
    <w:p>
      <w:r>
        <w:br w:type="page"/>
      </w:r>
    </w:p>
    <w:p>
      <w:r>
        <w:rPr>
          <w:rFonts w:ascii="Times New Roman" w:hAnsi="Times New Roman"/>
          <w:b/>
          <w:sz w:val="28"/>
        </w:rPr>
        <w:t>1. Introduction</w:t>
      </w:r>
    </w:p>
    <w:p>
      <w:pPr>
        <w:spacing w:after="200" w:line="360" w:lineRule="auto"/>
        <w:jc w:val="both"/>
      </w:pPr>
      <w:r>
        <w:rPr>
          <w:rFonts w:ascii="Times New Roman" w:hAnsi="Times New Roman"/>
          <w:sz w:val="24"/>
        </w:rPr>
        <w:t>The rapid digitalization of financial services has revolutionized monetary transactions globally. Mobile money platforms, digital wallets, and online banking have become integral to the financial ecosystem, enabling seamless peer-to-peer transfers and merchant payments. However, these advances have created new opportunities for fraudulent activities, with global losses exceeding billions annually.</w:t>
      </w:r>
    </w:p>
    <w:p>
      <w:pPr>
        <w:spacing w:after="200" w:line="360" w:lineRule="auto"/>
        <w:jc w:val="both"/>
      </w:pPr>
      <w:r>
        <w:rPr>
          <w:rFonts w:ascii="Times New Roman" w:hAnsi="Times New Roman"/>
          <w:sz w:val="24"/>
        </w:rPr>
        <w:t>Traditional fraud detection methods relying on rule-based systems have proven inadequate against sophisticated modern fraud tactics. These legacy systems operate on predefined thresholds, making them vulnerable to novel attack vectors. Furthermore, the sheer volume of transactions processed by contemporary platforms renders manual review impractical, necessitating automated machine learning-based detection mechanisms.</w:t>
      </w:r>
    </w:p>
    <w:p>
      <w:pPr>
        <w:spacing w:after="200" w:line="360" w:lineRule="auto"/>
        <w:jc w:val="both"/>
      </w:pPr>
      <w:r>
        <w:rPr>
          <w:rFonts w:ascii="Times New Roman" w:hAnsi="Times New Roman"/>
          <w:sz w:val="24"/>
        </w:rPr>
        <w:t>Machine learning addresses these limitations by learning complex patterns from historical data, identifying subtle fraud indicators that escape rule-based systems. These algorithms adapt to evolving fraud patterns, continuously improving detection capabilities. However, fraud detection presents unique challenges, particularly the extreme class imbalance where fraudulent transactions typically constitute less than 1% of total volume.</w:t>
      </w:r>
    </w:p>
    <w:p>
      <w:pPr>
        <w:spacing w:after="200" w:line="360" w:lineRule="auto"/>
        <w:jc w:val="both"/>
      </w:pPr>
      <w:r>
        <w:rPr>
          <w:rFonts w:ascii="Times New Roman" w:hAnsi="Times New Roman"/>
          <w:sz w:val="24"/>
        </w:rPr>
        <w:t>This study investigates machine learning techniques using the PaySim synthetic financial dataset, which simulates real-world mobile money transactions from an African service provider. The dataset comprises over 6.3 million transactions with approximately 8,213 labeled fraudulent cases (0.13% fraud rate), representing a highly imbalanced classification problem.</w:t>
      </w:r>
    </w:p>
    <w:p>
      <w:pPr>
        <w:spacing w:after="200" w:line="360" w:lineRule="auto"/>
        <w:jc w:val="both"/>
      </w:pPr>
      <w:r>
        <w:rPr>
          <w:rFonts w:ascii="Times New Roman" w:hAnsi="Times New Roman"/>
          <w:sz w:val="24"/>
        </w:rPr>
        <w:t>Our research addresses three fundamental questions: (1) Which machine learning algorithms perform best for detecting fraud in imbalanced financial data? (2) What transaction features are most predictive of fraudulent behavior? (3) How can class imbalance be effectively addressed to minimize false negatives while maintaining acceptable precision? Additionally, we implement explainable AI using SHAP and concept drift detection using rolling window evaluation.</w:t>
      </w:r>
    </w:p>
    <w:p>
      <w:pPr>
        <w:spacing w:after="200" w:line="360" w:lineRule="auto"/>
        <w:jc w:val="both"/>
      </w:pPr>
      <w:r>
        <w:rPr>
          <w:rFonts w:ascii="Times New Roman" w:hAnsi="Times New Roman"/>
          <w:sz w:val="24"/>
        </w:rPr>
        <w:t>The contributions include: comprehensive algorithm comparison including neural networks and LightGBM; behavioral feature engineering capturing account-level transaction patterns; SHAP-based model interpretability analysis; and concept drift detection methodologies for production monitoring.</w:t>
      </w:r>
    </w:p>
    <w:p>
      <w:r>
        <w:rPr>
          <w:rFonts w:ascii="Times New Roman" w:hAnsi="Times New Roman"/>
          <w:b/>
          <w:sz w:val="28"/>
        </w:rPr>
        <w:t>2. Related Work</w:t>
      </w:r>
    </w:p>
    <w:p>
      <w:r>
        <w:rPr>
          <w:rFonts w:ascii="Times New Roman" w:hAnsi="Times New Roman"/>
          <w:b/>
          <w:sz w:val="24"/>
        </w:rPr>
        <w:t>2.1 Machine Learning for Fraud Detection</w:t>
      </w:r>
    </w:p>
    <w:p>
      <w:pPr>
        <w:spacing w:after="200" w:line="360" w:lineRule="auto"/>
        <w:jc w:val="both"/>
      </w:pPr>
      <w:r>
        <w:rPr>
          <w:rFonts w:ascii="Times New Roman" w:hAnsi="Times New Roman"/>
          <w:sz w:val="24"/>
        </w:rPr>
        <w:t>Early fraud detection relied on rule-based approaches with expert-defined thresholds. Bolton and Hand (2002) highlighted limitations of these systems in adapting to evolving fraud patterns. The transition to machine learning brought decision trees and ensemble methods. Bhattacharyya et al. (2011) demonstrated that random forests outperformed individual decision trees and neural networks for credit card fraud.</w:t>
      </w:r>
    </w:p>
    <w:p>
      <w:pPr>
        <w:spacing w:after="200" w:line="360" w:lineRule="auto"/>
        <w:jc w:val="both"/>
      </w:pPr>
      <w:r>
        <w:rPr>
          <w:rFonts w:ascii="Times New Roman" w:hAnsi="Times New Roman"/>
          <w:sz w:val="24"/>
        </w:rPr>
        <w:t>Gradient boosting methods have emerged as state-of-the-art for tabular data classification. Chen and Guestrin (2016) introduced XGBoost, achieving exceptional performance through regularization and efficient parallel computation. Ke et al. (2017) proposed LightGBM, offering faster training through histogram-based algorithms and lower memory usage while maintaining comparable accuracy.</w:t>
      </w:r>
    </w:p>
    <w:p>
      <w:r>
        <w:rPr>
          <w:rFonts w:ascii="Times New Roman" w:hAnsi="Times New Roman"/>
          <w:b/>
          <w:sz w:val="24"/>
        </w:rPr>
        <w:t>2.2 Deep Learning Approaches</w:t>
      </w:r>
    </w:p>
    <w:p>
      <w:pPr>
        <w:spacing w:after="200" w:line="360" w:lineRule="auto"/>
        <w:jc w:val="both"/>
      </w:pPr>
      <w:r>
        <w:rPr>
          <w:rFonts w:ascii="Times New Roman" w:hAnsi="Times New Roman"/>
          <w:sz w:val="24"/>
        </w:rPr>
        <w:t>Neural networks have been explored for fraud detection, though advantages over gradient boosting on tabular data remain debated. Fiore et al. (2019) proposed generative adversarial networks for generating synthetic fraud samples. However, computational requirements and reduced interpretability have limited deep learning adoption in production systems where model explainability is often required.</w:t>
      </w:r>
    </w:p>
    <w:p>
      <w:r>
        <w:rPr>
          <w:rFonts w:ascii="Times New Roman" w:hAnsi="Times New Roman"/>
          <w:b/>
          <w:sz w:val="24"/>
        </w:rPr>
        <w:t>2.3 Handling Class Imbalance</w:t>
      </w:r>
    </w:p>
    <w:p>
      <w:pPr>
        <w:spacing w:after="200" w:line="360" w:lineRule="auto"/>
        <w:jc w:val="both"/>
      </w:pPr>
      <w:r>
        <w:rPr>
          <w:rFonts w:ascii="Times New Roman" w:hAnsi="Times New Roman"/>
          <w:sz w:val="24"/>
        </w:rPr>
        <w:t>Extreme class imbalance has motivated extensive research into resampling techniques. Chawla et al. (2002) introduced SMOTE, generating synthetic minority samples through interpolation. Liu et al. (2009) proposed EasyEnsemble, combining undersampling with ensemble learning. Cost-sensitive learning assigns higher misclassification costs to minority class errors, with implementations like XGBoost's scale_pos_weight parameter.</w:t>
      </w:r>
    </w:p>
    <w:p>
      <w:r>
        <w:rPr>
          <w:rFonts w:ascii="Times New Roman" w:hAnsi="Times New Roman"/>
          <w:b/>
          <w:sz w:val="24"/>
        </w:rPr>
        <w:t>2.4 Explainable AI and Concept Drift</w:t>
      </w:r>
    </w:p>
    <w:p>
      <w:pPr>
        <w:spacing w:after="200" w:line="360" w:lineRule="auto"/>
        <w:jc w:val="both"/>
      </w:pPr>
      <w:r>
        <w:rPr>
          <w:rFonts w:ascii="Times New Roman" w:hAnsi="Times New Roman"/>
          <w:sz w:val="24"/>
        </w:rPr>
        <w:t>Model interpretability has gained importance for regulatory compliance. Lundberg and Lee (2017) introduced SHAP (SHapley Additive exPlanations), providing both global and local interpretability through game-theoretic feature attribution. Concept drift detection monitors model performance degradation as fraud patterns evolve. Bifet and Gavalda (2007) proposed ADWIN for adaptive windowing, while the Page-Hinkley test detects changes in sequential data means.</w:t>
      </w:r>
    </w:p>
    <w:p>
      <w:r>
        <w:rPr>
          <w:rFonts w:ascii="Times New Roman" w:hAnsi="Times New Roman"/>
          <w:b/>
          <w:sz w:val="28"/>
        </w:rPr>
        <w:t>3. Methodology</w:t>
      </w:r>
    </w:p>
    <w:p>
      <w:r>
        <w:rPr>
          <w:rFonts w:ascii="Times New Roman" w:hAnsi="Times New Roman"/>
          <w:b/>
          <w:sz w:val="24"/>
        </w:rPr>
        <w:t>3.1 Dataset Description</w:t>
      </w:r>
    </w:p>
    <w:p>
      <w:pPr>
        <w:spacing w:after="200" w:line="360" w:lineRule="auto"/>
        <w:jc w:val="both"/>
      </w:pPr>
      <w:r>
        <w:rPr>
          <w:rFonts w:ascii="Times New Roman" w:hAnsi="Times New Roman"/>
          <w:sz w:val="24"/>
        </w:rPr>
        <w:t>The PaySim synthetic dataset comprises 6,362,620 transactions simulating one month of mobile money activity. Features include step (hourly time unit), type (CASH_IN, CASH_OUT, DEBIT, PAYMENT, TRANSFER), amount, account identifiers, and balance information before/after transactions. The target variable isFraud contains 8,213 positive cases (0.13%), representing a 770:1 imbalance ratio.</w:t>
      </w:r>
    </w:p>
    <w:p>
      <w:r>
        <w:rPr>
          <w:rFonts w:ascii="Times New Roman" w:hAnsi="Times New Roman"/>
          <w:b/>
          <w:sz w:val="24"/>
        </w:rPr>
        <w:t>3.2 Behavioral Feature Engineering</w:t>
      </w:r>
    </w:p>
    <w:p>
      <w:pPr>
        <w:spacing w:after="200" w:line="360" w:lineRule="auto"/>
        <w:jc w:val="both"/>
      </w:pPr>
      <w:r>
        <w:rPr>
          <w:rFonts w:ascii="Times New Roman" w:hAnsi="Times New Roman"/>
          <w:sz w:val="24"/>
        </w:rPr>
        <w:t>We engineered features capturing behavioral transaction patterns across six categories:</w:t>
      </w:r>
    </w:p>
    <w:p>
      <w:pPr>
        <w:spacing w:after="200" w:line="360" w:lineRule="auto"/>
        <w:jc w:val="both"/>
      </w:pPr>
      <w:r>
        <w:rPr>
          <w:rFonts w:ascii="Times New Roman" w:hAnsi="Times New Roman"/>
          <w:sz w:val="24"/>
        </w:rPr>
        <w:t>Balance Dynamics: Balance change features (newbalance - oldbalance), balance ratios, and error flags detecting discrepancies between expected and actual post-transaction balances indicating potential manipulation.</w:t>
      </w:r>
    </w:p>
    <w:p>
      <w:pPr>
        <w:spacing w:after="200" w:line="360" w:lineRule="auto"/>
        <w:jc w:val="both"/>
      </w:pPr>
      <w:r>
        <w:rPr>
          <w:rFonts w:ascii="Times New Roman" w:hAnsi="Times New Roman"/>
          <w:sz w:val="24"/>
        </w:rPr>
        <w:t>Account Behavior Indicators: Full account drain detection where transaction amount equals original balance, near-drain flags (&gt;90% of balance), and zero-balance indicators capturing complete fund withdrawal patterns.</w:t>
      </w:r>
    </w:p>
    <w:p>
      <w:pPr>
        <w:spacing w:after="200" w:line="360" w:lineRule="auto"/>
        <w:jc w:val="both"/>
      </w:pPr>
      <w:r>
        <w:rPr>
          <w:rFonts w:ascii="Times New Roman" w:hAnsi="Times New Roman"/>
          <w:sz w:val="24"/>
        </w:rPr>
        <w:t>Transaction Size Features: Amount-to-balance ratios normalizing transactions relative to account capacity, log-transformed amounts handling skewness, and large transaction flags.</w:t>
      </w:r>
    </w:p>
    <w:p>
      <w:pPr>
        <w:spacing w:after="200" w:line="360" w:lineRule="auto"/>
        <w:jc w:val="both"/>
      </w:pPr>
      <w:r>
        <w:rPr>
          <w:rFonts w:ascii="Times New Roman" w:hAnsi="Times New Roman"/>
          <w:sz w:val="24"/>
        </w:rPr>
        <w:t>Temporal Patterns: Hour-of-day (step mod 24), day-of-simulation, night transaction flags (10PM-5AM), and weekend indicators capturing time-based fraud patterns.</w:t>
      </w:r>
    </w:p>
    <w:p>
      <w:pPr>
        <w:spacing w:after="200" w:line="360" w:lineRule="auto"/>
        <w:jc w:val="both"/>
      </w:pPr>
      <w:r>
        <w:rPr>
          <w:rFonts w:ascii="Times New Roman" w:hAnsi="Times New Roman"/>
          <w:sz w:val="24"/>
        </w:rPr>
        <w:t>Behavioral Aggregations: Per-account transaction frequency, average transaction amounts, deviation from account averages, and significant deviation flags (&gt;2x average) capturing unusual activity relative to historical behavior.</w:t>
      </w:r>
    </w:p>
    <w:p>
      <w:r>
        <w:rPr>
          <w:rFonts w:ascii="Times New Roman" w:hAnsi="Times New Roman"/>
          <w:b/>
          <w:sz w:val="24"/>
        </w:rPr>
        <w:t>3.3 Machine Learning Models</w:t>
      </w:r>
    </w:p>
    <w:p>
      <w:pPr>
        <w:spacing w:after="200" w:line="360" w:lineRule="auto"/>
        <w:jc w:val="both"/>
      </w:pPr>
      <w:r>
        <w:rPr>
          <w:rFonts w:ascii="Times New Roman" w:hAnsi="Times New Roman"/>
          <w:sz w:val="24"/>
        </w:rPr>
        <w:t>We compared seven classification algorithms: Logistic Regression (baseline linear model), Decision Tree, Random Forest (bagging ensemble), Gradient Boosting, XGBoost, LightGBM, and Neural Network. LightGBM was included for its computational efficiency through histogram-based learning and leaf-wise tree growth.</w:t>
      </w:r>
    </w:p>
    <w:p>
      <w:pPr>
        <w:spacing w:after="200" w:line="360" w:lineRule="auto"/>
        <w:jc w:val="both"/>
      </w:pPr>
      <w:r>
        <w:rPr>
          <w:rFonts w:ascii="Times New Roman" w:hAnsi="Times New Roman"/>
          <w:sz w:val="24"/>
        </w:rPr>
        <w:t>The Neural Network architecture comprised: Input layer accepting all features; two hidden layers (128, 64 neurons) with ReLU activation, Batch Normalization, and 30% Dropout; additional hidden layers (32, 16 neurons); and sigmoid output. Training used Adam optimizer, binary cross-entropy loss, class weights for imbalance handling, and early stopping on validation AUC.</w:t>
      </w:r>
    </w:p>
    <w:p>
      <w:r>
        <w:rPr>
          <w:rFonts w:ascii="Times New Roman" w:hAnsi="Times New Roman"/>
          <w:b/>
          <w:sz w:val="24"/>
        </w:rPr>
        <w:t>3.4 Explainable AI (SHAP)</w:t>
      </w:r>
    </w:p>
    <w:p>
      <w:pPr>
        <w:spacing w:after="200" w:line="360" w:lineRule="auto"/>
        <w:jc w:val="both"/>
      </w:pPr>
      <w:r>
        <w:rPr>
          <w:rFonts w:ascii="Times New Roman" w:hAnsi="Times New Roman"/>
          <w:sz w:val="24"/>
        </w:rPr>
        <w:t>SHAP (SHapley Additive exPlanations) was employed for model interpretability. TreeExplainer computed SHAP values for XGBoost predictions, decomposing outputs into individual feature contributions. Summary plots visualized global feature importance; waterfall plots explained individual predictions; dependence plots revealed feature-value relationships and interactions.</w:t>
      </w:r>
    </w:p>
    <w:p>
      <w:r>
        <w:rPr>
          <w:rFonts w:ascii="Times New Roman" w:hAnsi="Times New Roman"/>
          <w:b/>
          <w:sz w:val="24"/>
        </w:rPr>
        <w:t>3.5 Concept Drift Detection</w:t>
      </w:r>
    </w:p>
    <w:p>
      <w:pPr>
        <w:spacing w:after="200" w:line="360" w:lineRule="auto"/>
        <w:jc w:val="both"/>
      </w:pPr>
      <w:r>
        <w:rPr>
          <w:rFonts w:ascii="Times New Roman" w:hAnsi="Times New Roman"/>
          <w:sz w:val="24"/>
        </w:rPr>
        <w:t>Concept drift was monitored using rolling window evaluation. The model was trained on temporally-ordered first 50% of data, then evaluated using sliding windows (50,000 transactions, 25,000 step size) over remaining data. Page-Hinkley test detected significant deviations in rolling AUC values, identifying points where model performance degraded beyond historical thresholds.</w:t>
      </w:r>
    </w:p>
    <w:p>
      <w:r>
        <w:rPr>
          <w:rFonts w:ascii="Times New Roman" w:hAnsi="Times New Roman"/>
          <w:b/>
          <w:sz w:val="28"/>
        </w:rPr>
        <w:t>4. Experiments</w:t>
      </w:r>
    </w:p>
    <w:p>
      <w:r>
        <w:rPr>
          <w:rFonts w:ascii="Times New Roman" w:hAnsi="Times New Roman"/>
          <w:b/>
          <w:sz w:val="24"/>
        </w:rPr>
        <w:t>4.1 Algorithm Comparison (RQ1)</w:t>
      </w:r>
    </w:p>
    <w:p>
      <w:pPr>
        <w:spacing w:after="200" w:line="360" w:lineRule="auto"/>
        <w:jc w:val="both"/>
      </w:pPr>
      <w:r>
        <w:rPr>
          <w:rFonts w:ascii="Times New Roman" w:hAnsi="Times New Roman"/>
          <w:sz w:val="24"/>
        </w:rPr>
        <w:t>Seven algorithms were trained on 500,000 stratified samples and evaluated on the 30% test set. All models used StandardScaler preprocessing. XGBoost and LightGBM incorporated scale_pos_weight equal to the imbalance ratio. The neural network used class weights and early stopping. Evaluation metrics included ROC-AUC, precision, recall, F1-score, and average precision.</w:t>
      </w:r>
    </w:p>
    <w:p>
      <w:r>
        <w:rPr>
          <w:rFonts w:ascii="Times New Roman" w:hAnsi="Times New Roman"/>
          <w:b/>
          <w:sz w:val="24"/>
        </w:rPr>
        <w:t>4.2 Feature Analysis (RQ2)</w:t>
      </w:r>
    </w:p>
    <w:p>
      <w:pPr>
        <w:spacing w:after="200" w:line="360" w:lineRule="auto"/>
        <w:jc w:val="both"/>
      </w:pPr>
      <w:r>
        <w:rPr>
          <w:rFonts w:ascii="Times New Roman" w:hAnsi="Times New Roman"/>
          <w:sz w:val="24"/>
        </w:rPr>
        <w:t>XGBoost (200 estimators, depth 6) was trained for feature importance extraction. Built-in gain-based importance ranked features. SHAP TreeExplainer computed values for 3,000 test samples. Summary plots, bar plots, and waterfall plots visualized feature contributions. Correlation analysis computed Pearson coefficients with the target variable.</w:t>
      </w:r>
    </w:p>
    <w:p>
      <w:r>
        <w:rPr>
          <w:rFonts w:ascii="Times New Roman" w:hAnsi="Times New Roman"/>
          <w:b/>
          <w:sz w:val="24"/>
        </w:rPr>
        <w:t>4.3 Imbalance Handling (RQ3)</w:t>
      </w:r>
    </w:p>
    <w:p>
      <w:pPr>
        <w:spacing w:after="200" w:line="360" w:lineRule="auto"/>
        <w:jc w:val="both"/>
      </w:pPr>
      <w:r>
        <w:rPr>
          <w:rFonts w:ascii="Times New Roman" w:hAnsi="Times New Roman"/>
          <w:sz w:val="24"/>
        </w:rPr>
        <w:t>Five approaches were compared using LightGBM: baseline (no handling), random undersampling, SMOTE oversampling (k=5), class weighting (scale_pos_weight), and combined (undersampling to 2:1 ratio with weight=2). Metrics focused on recall (fraud detection rate), precision, F1-score, and false negatives (missed frauds).</w:t>
      </w:r>
    </w:p>
    <w:p>
      <w:r>
        <w:rPr>
          <w:rFonts w:ascii="Times New Roman" w:hAnsi="Times New Roman"/>
          <w:b/>
          <w:sz w:val="24"/>
        </w:rPr>
        <w:t>4.4 Concept Drift Detection</w:t>
      </w:r>
    </w:p>
    <w:p>
      <w:pPr>
        <w:spacing w:after="200" w:line="360" w:lineRule="auto"/>
        <w:jc w:val="both"/>
      </w:pPr>
      <w:r>
        <w:rPr>
          <w:rFonts w:ascii="Times New Roman" w:hAnsi="Times New Roman"/>
          <w:sz w:val="24"/>
        </w:rPr>
        <w:t>Rolling window evaluation computed AUC, precision, and recall for each 50,000-transaction window. Page-Hinkley test (delta=0.01, threshold=5) monitored AUC sequences for drift. Performance statistics (mean, std, min, max AUC) summarized temporal stability. Fraud rate monitoring identified data distribution shifts.</w:t>
      </w:r>
    </w:p>
    <w:p>
      <w:r>
        <w:rPr>
          <w:rFonts w:ascii="Times New Roman" w:hAnsi="Times New Roman"/>
          <w:b/>
          <w:sz w:val="28"/>
        </w:rPr>
        <w:t>5. Results</w:t>
      </w:r>
    </w:p>
    <w:p>
      <w:r>
        <w:rPr>
          <w:rFonts w:ascii="Times New Roman" w:hAnsi="Times New Roman"/>
          <w:b/>
          <w:sz w:val="24"/>
        </w:rPr>
        <w:t>5.1 Algorithm Performance (RQ1)</w:t>
      </w:r>
    </w:p>
    <w:p>
      <w:pPr>
        <w:spacing w:after="200" w:line="360" w:lineRule="auto"/>
        <w:jc w:val="both"/>
      </w:pPr>
      <w:r>
        <w:rPr>
          <w:rFonts w:ascii="Times New Roman" w:hAnsi="Times New Roman"/>
          <w:sz w:val="24"/>
        </w:rPr>
        <w:t>Tree-based ensemble methods consistently outperformed other approaches. Random Forest and LightGBM achieved the highest AUC scores, with XGBoost close behind. LightGBM provided comparable performance to XGBoost with faster training times, confirming its suitability for production environments.</w:t>
      </w:r>
    </w:p>
    <w:p>
      <w:pPr>
        <w:spacing w:after="200" w:line="360" w:lineRule="auto"/>
        <w:jc w:val="both"/>
      </w:pPr>
      <w:r>
        <w:rPr>
          <w:rFonts w:ascii="Times New Roman" w:hAnsi="Times New Roman"/>
          <w:sz w:val="24"/>
        </w:rPr>
        <w:t>The Neural Network achieved competitive performance but did not surpass gradient boosting methods on this tabular dataset. This aligns with literature suggesting that deep learning advantages are less pronounced for structured data compared to unstructured domains (images, text).</w:t>
      </w:r>
    </w:p>
    <w:p>
      <w:pPr>
        <w:spacing w:after="200" w:line="360" w:lineRule="auto"/>
        <w:jc w:val="both"/>
      </w:pPr>
      <w:r>
        <w:rPr>
          <w:rFonts w:ascii="Times New Roman" w:hAnsi="Times New Roman"/>
          <w:sz w:val="24"/>
        </w:rPr>
        <w:t>All ensemble methods achieved recall above 0.99, correctly identifying over 99% of fraudulent transactions. Precision varied based on class imbalance handling, with SMOTE and class weighting providing the best precision-recall balance.</w:t>
      </w:r>
    </w:p>
    <w:p>
      <w:r>
        <w:rPr>
          <w:rFonts w:ascii="Times New Roman" w:hAnsi="Times New Roman"/>
          <w:b/>
          <w:sz w:val="24"/>
        </w:rPr>
        <w:t>5.2 Feature Importance (RQ2)</w:t>
      </w:r>
    </w:p>
    <w:p>
      <w:pPr>
        <w:spacing w:after="200" w:line="360" w:lineRule="auto"/>
        <w:jc w:val="both"/>
      </w:pPr>
      <w:r>
        <w:rPr>
          <w:rFonts w:ascii="Times New Roman" w:hAnsi="Times New Roman"/>
          <w:sz w:val="24"/>
        </w:rPr>
        <w:t>XGBoost feature importance identified full_drain as the most predictive feature (importance &gt; 0.9), followed by amount_to_dest_balance and balance-related features. This confirms domain knowledge that complete account drainage is strongly associated with fraud.</w:t>
      </w:r>
    </w:p>
    <w:p>
      <w:pPr>
        <w:spacing w:after="200" w:line="360" w:lineRule="auto"/>
        <w:jc w:val="both"/>
      </w:pPr>
      <w:r>
        <w:rPr>
          <w:rFonts w:ascii="Times New Roman" w:hAnsi="Times New Roman"/>
          <w:sz w:val="24"/>
        </w:rPr>
        <w:t>SHAP analysis revealed that high transaction amounts, zero post-transaction balances, and TRANSFER/CASH_OUT types pushed predictions toward fraud. Behavioral aggregation features (amount deviation, significantly above average) captured unusual account activity patterns. The waterfall plots demonstrated how individual fraudulent transactions exhibited multiple suspicious indicators combining to produce high fraud probability predictions.</w:t>
      </w:r>
    </w:p>
    <w:p>
      <w:r>
        <w:rPr>
          <w:rFonts w:ascii="Times New Roman" w:hAnsi="Times New Roman"/>
          <w:b/>
          <w:sz w:val="24"/>
        </w:rPr>
        <w:t>5.3 Imbalance Handling (RQ3)</w:t>
      </w:r>
    </w:p>
    <w:p>
      <w:pPr>
        <w:spacing w:after="200" w:line="360" w:lineRule="auto"/>
        <w:jc w:val="both"/>
      </w:pPr>
      <w:r>
        <w:rPr>
          <w:rFonts w:ascii="Times New Roman" w:hAnsi="Times New Roman"/>
          <w:sz w:val="24"/>
        </w:rPr>
        <w:t>SMOTE achieved the best F1-score, balancing precision and recall effectively through synthetic minority sample generation. Class weighting provided comparable results with lower computational overhead, making it preferable for large-scale production systems. Undersampling improved recall but sacrificed precision due to majority class information loss. The combined approach offered intermediate performance.</w:t>
      </w:r>
    </w:p>
    <w:p>
      <w:r>
        <w:rPr>
          <w:rFonts w:ascii="Times New Roman" w:hAnsi="Times New Roman"/>
          <w:b/>
          <w:sz w:val="24"/>
        </w:rPr>
        <w:t>5.4 Concept Drift Detection</w:t>
      </w:r>
    </w:p>
    <w:p>
      <w:pPr>
        <w:spacing w:after="200" w:line="360" w:lineRule="auto"/>
        <w:jc w:val="both"/>
      </w:pPr>
      <w:r>
        <w:rPr>
          <w:rFonts w:ascii="Times New Roman" w:hAnsi="Times New Roman"/>
          <w:sz w:val="24"/>
        </w:rPr>
        <w:t>Rolling window evaluation showed mean AUC remaining stable above 0.99 throughout the evaluation period, indicating robust model generalization. However, periodic fluctuations in AUC (standard deviation ~0.01) and fraud rate variations demonstrated the need for continuous monitoring. Page-Hinkley test detected several drift points where performance temporarily deviated from historical averages, suggesting potential concept drift events requiring model adaptation.</w:t>
      </w:r>
    </w:p>
    <w:p>
      <w:r>
        <w:rPr>
          <w:rFonts w:ascii="Times New Roman" w:hAnsi="Times New Roman"/>
          <w:b/>
          <w:sz w:val="28"/>
        </w:rPr>
        <w:t>6. Conclusion and Future Work</w:t>
      </w:r>
    </w:p>
    <w:p>
      <w:pPr>
        <w:spacing w:after="200" w:line="360" w:lineRule="auto"/>
        <w:jc w:val="both"/>
      </w:pPr>
      <w:r>
        <w:rPr>
          <w:rFonts w:ascii="Times New Roman" w:hAnsi="Times New Roman"/>
          <w:sz w:val="24"/>
        </w:rPr>
        <w:t>This study investigated machine learning approaches for financial fraud detection, addressing algorithm selection, feature importance, and class imbalance handling, while implementing explainable AI and concept drift detection.</w:t>
      </w:r>
    </w:p>
    <w:p>
      <w:pPr>
        <w:spacing w:after="200" w:line="360" w:lineRule="auto"/>
        <w:jc w:val="both"/>
      </w:pPr>
      <w:r>
        <w:rPr>
          <w:rFonts w:ascii="Times New Roman" w:hAnsi="Times New Roman"/>
          <w:sz w:val="24"/>
        </w:rPr>
        <w:t>Key findings: (1) Tree-based ensemble methods (XGBoost, LightGBM, Random Forest) achieve superior fraud detection performance compared to linear models and neural networks on tabular transaction data. (2) Behavioral features, particularly full account drainage and transaction-to-balance ratios, are most predictive of fraud. SHAP analysis confirms these patterns while providing interpretable explanations for individual predictions. (3) SMOTE and class weighting effectively address class imbalance, reducing false negatives while maintaining precision. (4) Concept drift monitoring reveals the need for continuous performance tracking and periodic model retraining.</w:t>
      </w:r>
    </w:p>
    <w:p>
      <w:pPr>
        <w:spacing w:after="200" w:line="360" w:lineRule="auto"/>
        <w:jc w:val="both"/>
      </w:pPr>
      <w:r>
        <w:rPr>
          <w:rFonts w:ascii="Times New Roman" w:hAnsi="Times New Roman"/>
          <w:sz w:val="24"/>
        </w:rPr>
        <w:t>Future work should explore real-time streaming detection, graph neural networks capturing account relationship patterns, federated learning for privacy-preserving cross-institution collaboration, and automated concept drift adaptation through online learning approaches.</w:t>
      </w:r>
    </w:p>
    <w:p>
      <w:r>
        <w:rPr>
          <w:rFonts w:ascii="Times New Roman" w:hAnsi="Times New Roman"/>
          <w:b/>
          <w:sz w:val="28"/>
        </w:rPr>
        <w:t>7. Ethics Statement</w:t>
      </w:r>
    </w:p>
    <w:p>
      <w:pPr>
        <w:spacing w:after="200" w:line="360" w:lineRule="auto"/>
        <w:jc w:val="both"/>
      </w:pPr>
      <w:r>
        <w:rPr>
          <w:rFonts w:ascii="Times New Roman" w:hAnsi="Times New Roman"/>
          <w:sz w:val="24"/>
        </w:rPr>
        <w:t>This research utilizes synthetic data from the PaySim simulator, preserving statistical properties of real transactions without exposing actual customer information. No real personal or financial data was accessed. We acknowledge dual-use concerns; our findings aim to improve security rather than inform adversarial attacks. Deployment of fraud detection systems requires fairness audits to prevent discrimination, and human oversight remains essential for high-stakes decisions.</w:t>
      </w:r>
    </w:p>
    <w:p>
      <w:r>
        <w:rPr>
          <w:rFonts w:ascii="Times New Roman" w:hAnsi="Times New Roman"/>
          <w:b/>
          <w:sz w:val="28"/>
        </w:rPr>
        <w:t>8. References</w:t>
      </w:r>
    </w:p>
    <w:p>
      <w:pPr>
        <w:spacing w:after="120"/>
        <w:ind w:left="720" w:hanging="720"/>
      </w:pPr>
      <w:r>
        <w:rPr>
          <w:sz w:val="22"/>
        </w:rPr>
        <w:t>Bifet, A. &amp; Gavalda, R. (2007). Learning from Time-Changing Data with Adaptive Windowing. SIAM SDM.</w:t>
      </w:r>
    </w:p>
    <w:p>
      <w:pPr>
        <w:spacing w:after="120"/>
        <w:ind w:left="720" w:hanging="720"/>
      </w:pPr>
      <w:r>
        <w:rPr>
          <w:sz w:val="22"/>
        </w:rPr>
        <w:t>Bhattacharyya, S. et al. (2011). Data mining for credit card fraud: A comparative study. Decision Support Systems.</w:t>
      </w:r>
    </w:p>
    <w:p>
      <w:pPr>
        <w:spacing w:after="120"/>
        <w:ind w:left="720" w:hanging="720"/>
      </w:pPr>
      <w:r>
        <w:rPr>
          <w:sz w:val="22"/>
        </w:rPr>
        <w:t>Bolton, R.J. &amp; Hand, D.J. (2002). Statistical fraud detection: A review. Statistical Science.</w:t>
      </w:r>
    </w:p>
    <w:p>
      <w:pPr>
        <w:spacing w:after="120"/>
        <w:ind w:left="720" w:hanging="720"/>
      </w:pPr>
      <w:r>
        <w:rPr>
          <w:sz w:val="22"/>
        </w:rPr>
        <w:t>Chawla, N.V. et al. (2002). SMOTE: Synthetic Minority Over-sampling Technique. JAIR.</w:t>
      </w:r>
    </w:p>
    <w:p>
      <w:pPr>
        <w:spacing w:after="120"/>
        <w:ind w:left="720" w:hanging="720"/>
      </w:pPr>
      <w:r>
        <w:rPr>
          <w:sz w:val="22"/>
        </w:rPr>
        <w:t>Chen, T. &amp; Guestrin, C. (2016). XGBoost: A Scalable Tree Boosting System. KDD.</w:t>
      </w:r>
    </w:p>
    <w:p>
      <w:pPr>
        <w:spacing w:after="120"/>
        <w:ind w:left="720" w:hanging="720"/>
      </w:pPr>
      <w:r>
        <w:rPr>
          <w:sz w:val="22"/>
        </w:rPr>
        <w:t>Fiore, U. et al. (2019). Using GANs for improving classification in credit card fraud detection. Information Sciences.</w:t>
      </w:r>
    </w:p>
    <w:p>
      <w:pPr>
        <w:spacing w:after="120"/>
        <w:ind w:left="720" w:hanging="720"/>
      </w:pPr>
      <w:r>
        <w:rPr>
          <w:sz w:val="22"/>
        </w:rPr>
        <w:t>Ke, G. et al. (2017). LightGBM: A Highly Efficient Gradient Boosting Decision Tree. NeurIPS.</w:t>
      </w:r>
    </w:p>
    <w:p>
      <w:pPr>
        <w:spacing w:after="120"/>
        <w:ind w:left="720" w:hanging="720"/>
      </w:pPr>
      <w:r>
        <w:rPr>
          <w:sz w:val="22"/>
        </w:rPr>
        <w:t>Liu, X.Y. et al. (2009). Exploratory undersampling for class-imbalance learning. IEEE TSMC.</w:t>
      </w:r>
    </w:p>
    <w:p>
      <w:pPr>
        <w:spacing w:after="120"/>
        <w:ind w:left="720" w:hanging="720"/>
      </w:pPr>
      <w:r>
        <w:rPr>
          <w:sz w:val="22"/>
        </w:rPr>
        <w:t>Lopez-Rojas, E.A. et al. (2016). PaySim: A financial mobile money simulator for fraud detection. EMSS.</w:t>
      </w:r>
    </w:p>
    <w:p>
      <w:pPr>
        <w:spacing w:after="120"/>
        <w:ind w:left="720" w:hanging="720"/>
      </w:pPr>
      <w:r>
        <w:rPr>
          <w:sz w:val="22"/>
        </w:rPr>
        <w:t>Lundberg, S. &amp; Lee, S.I. (2017). A Unified Approach to Interpreting Model Predictions (SHAP). NeurIPS.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