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BA08" w14:textId="77777777" w:rsidR="00B10BE6" w:rsidRPr="00B10BE6" w:rsidRDefault="00B10BE6" w:rsidP="00B10BE6">
      <w:pPr>
        <w:spacing w:after="0" w:line="240" w:lineRule="auto"/>
        <w:jc w:val="center"/>
        <w:rPr>
          <w:rFonts w:eastAsia="Times New Roman" w:cstheme="minorHAnsi"/>
          <w:sz w:val="32"/>
          <w:szCs w:val="32"/>
        </w:rPr>
      </w:pPr>
      <w:r w:rsidRPr="00B10BE6">
        <w:rPr>
          <w:rFonts w:eastAsia="Times New Roman" w:cstheme="minorHAnsi"/>
          <w:b/>
          <w:bCs/>
          <w:sz w:val="32"/>
          <w:szCs w:val="32"/>
        </w:rPr>
        <w:t>GDPR</w:t>
      </w:r>
    </w:p>
    <w:p w14:paraId="3E6FB969" w14:textId="77777777" w:rsidR="00B10BE6" w:rsidRPr="00B10BE6" w:rsidRDefault="00B10BE6" w:rsidP="00B10BE6">
      <w:pPr>
        <w:spacing w:after="0" w:line="240" w:lineRule="auto"/>
        <w:jc w:val="both"/>
        <w:rPr>
          <w:rFonts w:eastAsia="Times New Roman" w:cstheme="minorHAnsi"/>
        </w:rPr>
      </w:pPr>
    </w:p>
    <w:p w14:paraId="5D964398" w14:textId="77777777" w:rsidR="00B10BE6" w:rsidRPr="00B10BE6" w:rsidRDefault="00B10BE6" w:rsidP="00B10BE6">
      <w:pPr>
        <w:spacing w:after="0" w:line="240" w:lineRule="auto"/>
        <w:jc w:val="both"/>
        <w:rPr>
          <w:rFonts w:eastAsia="Times New Roman" w:cstheme="minorHAnsi"/>
          <w:b/>
          <w:bCs/>
        </w:rPr>
      </w:pPr>
      <w:r w:rsidRPr="00B10BE6">
        <w:rPr>
          <w:rFonts w:eastAsia="Times New Roman" w:cstheme="minorHAnsi"/>
          <w:b/>
          <w:bCs/>
        </w:rPr>
        <w:t>What Is the General Data Protection Regulation (GDPR)?</w:t>
      </w:r>
    </w:p>
    <w:p w14:paraId="6CEDFAEE" w14:textId="77777777" w:rsidR="00B10BE6" w:rsidRPr="00B10BE6" w:rsidRDefault="00B10BE6" w:rsidP="00B10BE6">
      <w:pPr>
        <w:spacing w:after="0" w:line="240" w:lineRule="auto"/>
        <w:jc w:val="both"/>
        <w:rPr>
          <w:rFonts w:eastAsia="Times New Roman" w:cstheme="minorHAnsi"/>
        </w:rPr>
      </w:pPr>
    </w:p>
    <w:p w14:paraId="60FC23AD" w14:textId="2963B24F" w:rsidR="00B10BE6" w:rsidRPr="00B10BE6" w:rsidRDefault="00B10BE6" w:rsidP="00B10BE6">
      <w:pPr>
        <w:spacing w:after="0" w:line="240" w:lineRule="auto"/>
        <w:jc w:val="both"/>
        <w:rPr>
          <w:rFonts w:eastAsia="Times New Roman" w:cstheme="minorHAnsi"/>
        </w:rPr>
      </w:pPr>
      <w:r w:rsidRPr="00B10BE6">
        <w:rPr>
          <w:rFonts w:eastAsia="Times New Roman" w:cstheme="minorHAnsi"/>
        </w:rPr>
        <w:t xml:space="preserve">The General Data Protection Regulation (GDPR) is a legal framework that sets guidelines for the collection and processing of personal information from individuals who live </w:t>
      </w:r>
      <w:r w:rsidRPr="00B10BE6">
        <w:rPr>
          <w:rFonts w:eastAsia="Times New Roman" w:cstheme="minorHAnsi"/>
        </w:rPr>
        <w:t xml:space="preserve">in </w:t>
      </w:r>
      <w:r w:rsidRPr="00B10BE6">
        <w:rPr>
          <w:rFonts w:eastAsia="Times New Roman" w:cstheme="minorHAnsi"/>
        </w:rPr>
        <w:t xml:space="preserve">and outside of the European Union (EU). Approved in 2016, the GDPR went into full effect two years later. </w:t>
      </w:r>
    </w:p>
    <w:p w14:paraId="70BC4302" w14:textId="01639A6B" w:rsidR="00B10BE6" w:rsidRPr="00B10BE6" w:rsidRDefault="00B10BE6" w:rsidP="00B10BE6">
      <w:pPr>
        <w:spacing w:after="0" w:line="240" w:lineRule="auto"/>
        <w:jc w:val="both"/>
        <w:rPr>
          <w:rFonts w:eastAsia="Times New Roman" w:cstheme="minorHAnsi"/>
        </w:rPr>
      </w:pPr>
    </w:p>
    <w:p w14:paraId="3CBA70A1" w14:textId="77777777" w:rsidR="00B10BE6" w:rsidRPr="00B10BE6" w:rsidRDefault="00B10BE6" w:rsidP="00B10BE6">
      <w:pPr>
        <w:spacing w:after="0" w:line="240" w:lineRule="auto"/>
        <w:jc w:val="both"/>
        <w:rPr>
          <w:rFonts w:eastAsia="Times New Roman" w:cstheme="minorHAnsi"/>
        </w:rPr>
      </w:pPr>
      <w:r w:rsidRPr="00B10BE6">
        <w:rPr>
          <w:rFonts w:eastAsia="Times New Roman" w:cstheme="minorHAnsi"/>
        </w:rPr>
        <w:t>The regulation applies regardless of where the data is collected and/or processed, which means it must be heeded by all companies that deal with European citizens, even if they are not EU residents.</w:t>
      </w:r>
    </w:p>
    <w:p w14:paraId="26356F28" w14:textId="77777777" w:rsidR="00B10BE6" w:rsidRPr="00B10BE6" w:rsidRDefault="00B10BE6" w:rsidP="00B10BE6">
      <w:pPr>
        <w:spacing w:after="0" w:line="240" w:lineRule="auto"/>
        <w:jc w:val="both"/>
        <w:rPr>
          <w:rFonts w:eastAsia="Times New Roman" w:cstheme="minorHAnsi"/>
        </w:rPr>
      </w:pPr>
    </w:p>
    <w:p w14:paraId="004F742C" w14:textId="77777777" w:rsidR="00B10BE6" w:rsidRPr="00B10BE6" w:rsidRDefault="00B10BE6" w:rsidP="00B10BE6">
      <w:pPr>
        <w:spacing w:after="0" w:line="240" w:lineRule="auto"/>
        <w:jc w:val="both"/>
        <w:rPr>
          <w:rFonts w:eastAsia="Times New Roman" w:cstheme="minorHAnsi"/>
        </w:rPr>
      </w:pPr>
      <w:r w:rsidRPr="00B10BE6">
        <w:rPr>
          <w:rFonts w:eastAsia="Times New Roman" w:cstheme="minorHAnsi"/>
        </w:rPr>
        <w:t xml:space="preserve">Its aim is to give consumers control over their own personal data by holding companies responsible for the way they handle and treat this information. </w:t>
      </w:r>
    </w:p>
    <w:p w14:paraId="40126182" w14:textId="77777777" w:rsidR="00B10BE6" w:rsidRPr="00B10BE6" w:rsidRDefault="00B10BE6" w:rsidP="00B10BE6">
      <w:pPr>
        <w:spacing w:after="0" w:line="240" w:lineRule="auto"/>
        <w:jc w:val="both"/>
        <w:rPr>
          <w:rFonts w:eastAsia="Times New Roman" w:cstheme="minorHAnsi"/>
        </w:rPr>
      </w:pPr>
    </w:p>
    <w:p w14:paraId="2DBBD2CE" w14:textId="7D0BF828" w:rsidR="00B10BE6" w:rsidRPr="0055691E" w:rsidRDefault="0055691E" w:rsidP="00B10BE6">
      <w:pPr>
        <w:spacing w:after="0" w:line="240" w:lineRule="auto"/>
        <w:jc w:val="both"/>
        <w:rPr>
          <w:rFonts w:eastAsia="Times New Roman" w:cstheme="minorHAnsi"/>
          <w:b/>
          <w:bCs/>
        </w:rPr>
      </w:pPr>
      <w:r w:rsidRPr="0055691E">
        <w:rPr>
          <w:rFonts w:eastAsia="Times New Roman" w:cstheme="minorHAnsi"/>
          <w:b/>
          <w:bCs/>
        </w:rPr>
        <w:t xml:space="preserve">To which kind of Data is </w:t>
      </w:r>
      <w:r w:rsidR="00B10BE6" w:rsidRPr="00B10BE6">
        <w:rPr>
          <w:rFonts w:eastAsia="Times New Roman" w:cstheme="minorHAnsi"/>
          <w:b/>
          <w:bCs/>
        </w:rPr>
        <w:t>GDPR</w:t>
      </w:r>
      <w:r w:rsidRPr="0055691E">
        <w:rPr>
          <w:rFonts w:eastAsia="Times New Roman" w:cstheme="minorHAnsi"/>
          <w:b/>
          <w:bCs/>
        </w:rPr>
        <w:t xml:space="preserve"> applicable</w:t>
      </w:r>
      <w:r w:rsidR="00B10BE6" w:rsidRPr="0055691E">
        <w:rPr>
          <w:rFonts w:eastAsia="Times New Roman" w:cstheme="minorHAnsi"/>
          <w:b/>
          <w:bCs/>
        </w:rPr>
        <w:t xml:space="preserve">: </w:t>
      </w:r>
    </w:p>
    <w:p w14:paraId="0A87ECFA" w14:textId="4DE1CEEA" w:rsidR="00B10BE6" w:rsidRPr="00B10BE6" w:rsidRDefault="00B10BE6" w:rsidP="00B10BE6">
      <w:pPr>
        <w:numPr>
          <w:ilvl w:val="0"/>
          <w:numId w:val="1"/>
        </w:numPr>
        <w:spacing w:before="100" w:beforeAutospacing="1" w:after="100" w:afterAutospacing="1" w:line="240" w:lineRule="auto"/>
        <w:ind w:left="945"/>
        <w:jc w:val="both"/>
        <w:rPr>
          <w:rFonts w:eastAsia="Times New Roman" w:cstheme="minorHAnsi"/>
        </w:rPr>
      </w:pPr>
      <w:r w:rsidRPr="00B10BE6">
        <w:rPr>
          <w:rFonts w:eastAsia="Times New Roman" w:cstheme="minorHAnsi"/>
        </w:rPr>
        <w:t>GDPR applies to "information which relates to an identifiable living individual"</w:t>
      </w:r>
      <w:r w:rsidRPr="00B10BE6">
        <w:rPr>
          <w:rStyle w:val="FootnoteReference"/>
          <w:rFonts w:eastAsia="Times New Roman"/>
        </w:rPr>
        <w:footnoteReference w:id="1"/>
      </w:r>
    </w:p>
    <w:p w14:paraId="1B9AEC11" w14:textId="77777777" w:rsidR="00B10BE6" w:rsidRPr="00B10BE6" w:rsidRDefault="00B10BE6" w:rsidP="00B10BE6">
      <w:pPr>
        <w:numPr>
          <w:ilvl w:val="0"/>
          <w:numId w:val="1"/>
        </w:numPr>
        <w:spacing w:before="100" w:beforeAutospacing="1" w:after="100" w:afterAutospacing="1" w:line="240" w:lineRule="auto"/>
        <w:ind w:left="945"/>
        <w:jc w:val="both"/>
        <w:rPr>
          <w:rFonts w:eastAsia="Times New Roman" w:cstheme="minorHAnsi"/>
        </w:rPr>
      </w:pPr>
      <w:r w:rsidRPr="00B10BE6">
        <w:rPr>
          <w:rFonts w:eastAsia="Times New Roman" w:cstheme="minorHAnsi"/>
        </w:rPr>
        <w:t>The EU’s GDPR only applies to personal data, which is any piece of information that relates to an identifiable person. </w:t>
      </w:r>
    </w:p>
    <w:p w14:paraId="4040A90B" w14:textId="77650908" w:rsidR="00B10BE6" w:rsidRPr="00B10BE6" w:rsidRDefault="0055691E" w:rsidP="00B10BE6">
      <w:pPr>
        <w:numPr>
          <w:ilvl w:val="1"/>
          <w:numId w:val="1"/>
        </w:numPr>
        <w:spacing w:before="100" w:beforeAutospacing="1" w:after="100" w:afterAutospacing="1" w:line="240" w:lineRule="auto"/>
        <w:ind w:left="1665"/>
        <w:jc w:val="both"/>
        <w:rPr>
          <w:rFonts w:eastAsia="Times New Roman" w:cstheme="minorHAnsi"/>
        </w:rPr>
      </w:pPr>
      <w:r>
        <w:rPr>
          <w:rFonts w:eastAsia="Times New Roman" w:cstheme="minorHAnsi"/>
        </w:rPr>
        <w:t xml:space="preserve"> The identifiable person is a n</w:t>
      </w:r>
      <w:r w:rsidR="00B10BE6" w:rsidRPr="00B10BE6">
        <w:rPr>
          <w:rFonts w:eastAsia="Times New Roman" w:cstheme="minorHAnsi"/>
        </w:rPr>
        <w:t>atural person: This element is the easiest to define. By using “natural person,” the GDPR is</w:t>
      </w:r>
      <w:r>
        <w:rPr>
          <w:rFonts w:eastAsia="Times New Roman" w:cstheme="minorHAnsi"/>
        </w:rPr>
        <w:t xml:space="preserve"> </w:t>
      </w:r>
      <w:r w:rsidR="00B10BE6" w:rsidRPr="00B10BE6">
        <w:rPr>
          <w:rFonts w:eastAsia="Times New Roman" w:cstheme="minorHAnsi"/>
        </w:rPr>
        <w:t>saying </w:t>
      </w:r>
      <w:r>
        <w:rPr>
          <w:rFonts w:eastAsia="Times New Roman" w:cstheme="minorHAnsi"/>
        </w:rPr>
        <w:t xml:space="preserve">that </w:t>
      </w:r>
      <w:r w:rsidR="00B10BE6" w:rsidRPr="00B10BE6">
        <w:rPr>
          <w:rFonts w:eastAsia="Times New Roman" w:cstheme="minorHAnsi"/>
        </w:rPr>
        <w:t>data about companies, which are considered “legal persons,” are not personal data.</w:t>
      </w:r>
    </w:p>
    <w:p w14:paraId="215F1953" w14:textId="7A187DCD" w:rsidR="00B10BE6" w:rsidRDefault="0055691E" w:rsidP="00B10BE6">
      <w:pPr>
        <w:numPr>
          <w:ilvl w:val="1"/>
          <w:numId w:val="1"/>
        </w:numPr>
        <w:spacing w:before="100" w:beforeAutospacing="1" w:after="100" w:afterAutospacing="1" w:line="240" w:lineRule="auto"/>
        <w:ind w:left="1665"/>
        <w:jc w:val="both"/>
        <w:rPr>
          <w:rFonts w:eastAsia="Times New Roman" w:cstheme="minorHAnsi"/>
        </w:rPr>
      </w:pPr>
      <w:r>
        <w:rPr>
          <w:rFonts w:eastAsia="Times New Roman" w:cstheme="minorHAnsi"/>
        </w:rPr>
        <w:t xml:space="preserve"> The person m</w:t>
      </w:r>
      <w:r w:rsidR="00B10BE6" w:rsidRPr="00B10BE6">
        <w:rPr>
          <w:rFonts w:eastAsia="Times New Roman" w:cstheme="minorHAnsi"/>
        </w:rPr>
        <w:t>ust be alive. Data related to the deceased are not considered personal data in most cases under the GDPR.</w:t>
      </w:r>
      <w:r w:rsidR="00B10BE6">
        <w:rPr>
          <w:rStyle w:val="FootnoteReference"/>
          <w:rFonts w:eastAsia="Times New Roman" w:cstheme="minorHAnsi"/>
        </w:rPr>
        <w:footnoteReference w:id="2"/>
      </w:r>
      <w:r w:rsidR="00B10BE6" w:rsidRPr="00B10BE6">
        <w:rPr>
          <w:rFonts w:eastAsia="Times New Roman" w:cstheme="minorHAnsi"/>
        </w:rPr>
        <w:t xml:space="preserve"> </w:t>
      </w:r>
    </w:p>
    <w:p w14:paraId="189F1218" w14:textId="74D8773E" w:rsidR="0055691E" w:rsidRDefault="0055691E" w:rsidP="0055691E">
      <w:pPr>
        <w:spacing w:before="100" w:beforeAutospacing="1" w:after="100" w:afterAutospacing="1" w:line="240" w:lineRule="auto"/>
        <w:jc w:val="both"/>
        <w:rPr>
          <w:rFonts w:eastAsia="Times New Roman" w:cstheme="minorHAnsi"/>
          <w:b/>
          <w:bCs/>
        </w:rPr>
      </w:pPr>
      <w:r w:rsidRPr="0055691E">
        <w:rPr>
          <w:rFonts w:eastAsia="Times New Roman" w:cstheme="minorHAnsi"/>
          <w:b/>
          <w:bCs/>
        </w:rPr>
        <w:t xml:space="preserve">How </w:t>
      </w:r>
      <w:r w:rsidR="00C63F80">
        <w:rPr>
          <w:rFonts w:eastAsia="Times New Roman" w:cstheme="minorHAnsi"/>
          <w:b/>
          <w:bCs/>
        </w:rPr>
        <w:t xml:space="preserve">a company is </w:t>
      </w:r>
      <w:r w:rsidRPr="0055691E">
        <w:rPr>
          <w:rFonts w:eastAsia="Times New Roman" w:cstheme="minorHAnsi"/>
          <w:b/>
          <w:bCs/>
        </w:rPr>
        <w:t xml:space="preserve">compliant with GDPR </w:t>
      </w:r>
      <w:r w:rsidR="00C63F80">
        <w:rPr>
          <w:rFonts w:eastAsia="Times New Roman" w:cstheme="minorHAnsi"/>
          <w:b/>
          <w:bCs/>
        </w:rPr>
        <w:t>regarding its clients</w:t>
      </w:r>
      <w:r w:rsidRPr="0055691E">
        <w:rPr>
          <w:rFonts w:eastAsia="Times New Roman" w:cstheme="minorHAnsi"/>
          <w:b/>
          <w:bCs/>
        </w:rPr>
        <w:t xml:space="preserve">:  </w:t>
      </w:r>
    </w:p>
    <w:p w14:paraId="3A902E4D" w14:textId="767FE3CA" w:rsidR="00C63F80" w:rsidRPr="00C63F80" w:rsidRDefault="00C63F80" w:rsidP="00C63F80">
      <w:pPr>
        <w:shd w:val="clear" w:color="auto" w:fill="FFFFFF"/>
        <w:spacing w:before="100" w:beforeAutospacing="1" w:after="100" w:afterAutospacing="1" w:line="240" w:lineRule="auto"/>
        <w:jc w:val="both"/>
        <w:rPr>
          <w:rFonts w:eastAsia="Times New Roman" w:cstheme="minorHAnsi"/>
          <w:color w:val="222222"/>
        </w:rPr>
      </w:pPr>
      <w:r w:rsidRPr="00C63F80">
        <w:rPr>
          <w:rFonts w:eastAsia="Times New Roman" w:cstheme="minorHAnsi"/>
          <w:color w:val="222222"/>
        </w:rPr>
        <w:t>To</w:t>
      </w:r>
      <w:r w:rsidRPr="00C63F80">
        <w:rPr>
          <w:rFonts w:eastAsia="Times New Roman" w:cstheme="minorHAnsi"/>
          <w:color w:val="222222"/>
        </w:rPr>
        <w:t xml:space="preserve"> be GDPR compliant, companies must ensure that they are handling personal data in a way that is transparent, secure, and respects the rights of the individuals whose data they are processing. Here are some steps that </w:t>
      </w:r>
      <w:r>
        <w:rPr>
          <w:rFonts w:eastAsia="Times New Roman" w:cstheme="minorHAnsi"/>
          <w:color w:val="222222"/>
        </w:rPr>
        <w:t>the</w:t>
      </w:r>
      <w:r w:rsidRPr="00C63F80">
        <w:rPr>
          <w:rFonts w:eastAsia="Times New Roman" w:cstheme="minorHAnsi"/>
          <w:color w:val="222222"/>
        </w:rPr>
        <w:t xml:space="preserve"> company can take to ensure compliance:</w:t>
      </w:r>
    </w:p>
    <w:p w14:paraId="1F639C85" w14:textId="1BBE0E32" w:rsidR="00C63F80" w:rsidRPr="00C63F80" w:rsidRDefault="00C63F80" w:rsidP="00003E24">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C63F80">
        <w:rPr>
          <w:rFonts w:eastAsia="Times New Roman" w:cstheme="minorHAnsi"/>
          <w:color w:val="222222"/>
        </w:rPr>
        <w:t xml:space="preserve">Understand what personal data </w:t>
      </w:r>
      <w:r w:rsidRPr="00C63F80">
        <w:rPr>
          <w:rFonts w:eastAsia="Times New Roman" w:cstheme="minorHAnsi"/>
          <w:color w:val="222222"/>
        </w:rPr>
        <w:t>the company</w:t>
      </w:r>
      <w:r w:rsidRPr="00C63F80">
        <w:rPr>
          <w:rFonts w:eastAsia="Times New Roman" w:cstheme="minorHAnsi"/>
          <w:color w:val="222222"/>
        </w:rPr>
        <w:t xml:space="preserve"> </w:t>
      </w:r>
      <w:r w:rsidRPr="00C63F80">
        <w:rPr>
          <w:rFonts w:eastAsia="Times New Roman" w:cstheme="minorHAnsi"/>
          <w:color w:val="222222"/>
        </w:rPr>
        <w:t>is</w:t>
      </w:r>
      <w:r w:rsidRPr="00C63F80">
        <w:rPr>
          <w:rFonts w:eastAsia="Times New Roman" w:cstheme="minorHAnsi"/>
          <w:color w:val="222222"/>
        </w:rPr>
        <w:t xml:space="preserve"> collecting and processing:</w:t>
      </w:r>
      <w:r w:rsidRPr="00C63F80">
        <w:rPr>
          <w:rFonts w:eastAsia="Times New Roman" w:cstheme="minorHAnsi"/>
          <w:color w:val="222222"/>
        </w:rPr>
        <w:t xml:space="preserve"> </w:t>
      </w:r>
      <w:r w:rsidRPr="00C63F80">
        <w:rPr>
          <w:rFonts w:eastAsia="Times New Roman" w:cstheme="minorHAnsi"/>
          <w:color w:val="222222"/>
        </w:rPr>
        <w:t>This includes information such as names, addresses, email addresses, and other information that can be used to identify an individual.</w:t>
      </w:r>
    </w:p>
    <w:p w14:paraId="4B785908" w14:textId="77777777" w:rsidR="00C63F80" w:rsidRPr="00C63F80" w:rsidRDefault="00C63F80" w:rsidP="00C63F80">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C63F80">
        <w:rPr>
          <w:rFonts w:eastAsia="Times New Roman" w:cstheme="minorHAnsi"/>
          <w:color w:val="222222"/>
        </w:rPr>
        <w:t>Obtain consent from individuals: In most cases, companies must obtain consent from individuals before collecting and processing their personal data. This consent must be freely given, specific, informed, and unambiguous.</w:t>
      </w:r>
    </w:p>
    <w:p w14:paraId="31BDDFFC" w14:textId="77777777" w:rsidR="00C63F80" w:rsidRDefault="00C63F80" w:rsidP="00000935">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C63F80">
        <w:rPr>
          <w:rFonts w:eastAsia="Times New Roman" w:cstheme="minorHAnsi"/>
          <w:color w:val="222222"/>
        </w:rPr>
        <w:t>Implement appropriate security measures: Companies must implement</w:t>
      </w:r>
      <w:r w:rsidRPr="00C63F80">
        <w:rPr>
          <w:rFonts w:eastAsia="Times New Roman" w:cstheme="minorHAnsi"/>
          <w:color w:val="222222"/>
        </w:rPr>
        <w:t xml:space="preserve"> </w:t>
      </w:r>
      <w:r w:rsidRPr="00C63F80">
        <w:rPr>
          <w:rFonts w:eastAsia="Times New Roman" w:cstheme="minorHAnsi"/>
          <w:color w:val="222222"/>
        </w:rPr>
        <w:t>security measures to protect personal data from unauthorized access, disclosure, and loss. This includes measures such as encryption, access controls, and regular security audits.</w:t>
      </w:r>
    </w:p>
    <w:p w14:paraId="66795E3B" w14:textId="77777777" w:rsidR="00C63F80" w:rsidRDefault="00C63F80" w:rsidP="00D81639">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C63F80">
        <w:rPr>
          <w:rFonts w:eastAsia="Times New Roman" w:cstheme="minorHAnsi"/>
          <w:color w:val="222222"/>
        </w:rPr>
        <w:t xml:space="preserve">Appoint a Data Protection Officer (DPO): If your company processes large amounts of personal data or engages in large-scale processing of sensitive personal data, you may be required to </w:t>
      </w:r>
      <w:r w:rsidRPr="00C63F80">
        <w:rPr>
          <w:rFonts w:eastAsia="Times New Roman" w:cstheme="minorHAnsi"/>
          <w:color w:val="222222"/>
        </w:rPr>
        <w:lastRenderedPageBreak/>
        <w:t>appoint a DPO. The DPO is responsible for ensuring that the company is complying with GDPR requirements.</w:t>
      </w:r>
      <w:r w:rsidRPr="00C63F80">
        <w:rPr>
          <w:rFonts w:eastAsia="Times New Roman" w:cstheme="minorHAnsi"/>
          <w:color w:val="222222"/>
        </w:rPr>
        <w:t xml:space="preserve"> </w:t>
      </w:r>
    </w:p>
    <w:p w14:paraId="2FE3D6DB" w14:textId="77777777" w:rsidR="00C63F80" w:rsidRDefault="00C63F80" w:rsidP="00E114B4">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C63F80">
        <w:rPr>
          <w:rFonts w:eastAsia="Times New Roman" w:cstheme="minorHAnsi"/>
          <w:color w:val="222222"/>
        </w:rPr>
        <w:t>Develop a Data Protection Policy: Your company should have a clear and comprehensive Data Protection Policy that outlines how personal data is collected, processed, and protected. This policy should be communicated to all employees and regularly reviewed and updated as necessary.</w:t>
      </w:r>
    </w:p>
    <w:p w14:paraId="7A47C5F9" w14:textId="5ADBB2E1" w:rsidR="00C63F80" w:rsidRPr="00C63F80" w:rsidRDefault="00C63F80" w:rsidP="000C5AC8">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C63F80">
        <w:rPr>
          <w:rFonts w:eastAsia="Times New Roman" w:cstheme="minorHAnsi"/>
          <w:color w:val="FF0000"/>
        </w:rPr>
        <w:t>Ensure compliance with GDPR when transferring data outside of the EU</w:t>
      </w:r>
      <w:r w:rsidR="0091207C">
        <w:rPr>
          <w:rFonts w:eastAsia="Times New Roman" w:cstheme="minorHAnsi"/>
          <w:color w:val="FF0000"/>
        </w:rPr>
        <w:t xml:space="preserve"> </w:t>
      </w:r>
      <w:r w:rsidRPr="00C63F80">
        <w:rPr>
          <w:rFonts w:eastAsia="Times New Roman" w:cstheme="minorHAnsi"/>
          <w:color w:val="FF0000"/>
        </w:rPr>
        <w:t>: If your company transfers personal data outside of the EU, you must ensure that the data is being transferred to a country that has adequate data protection laws in place or that appropriate safeguards are in place to protect the data.</w:t>
      </w:r>
    </w:p>
    <w:p w14:paraId="4BBD5B39" w14:textId="668AEA34" w:rsidR="00C63F80" w:rsidRPr="00C63F80" w:rsidRDefault="00C63F80" w:rsidP="000C5AC8">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22222"/>
        </w:rPr>
      </w:pPr>
      <w:r w:rsidRPr="00C63F80">
        <w:rPr>
          <w:rFonts w:eastAsia="Times New Roman" w:cstheme="minorHAnsi"/>
          <w:color w:val="222222"/>
        </w:rPr>
        <w:t>Respond to data subject requests: Individuals have the right to request access to their personal data, request that it be corrected, and request that it be deleted. Your company must have a process in place for handling these requests and responding to them in a timely manner.</w:t>
      </w:r>
    </w:p>
    <w:p w14:paraId="21BF09C2" w14:textId="681C717B" w:rsidR="0091207C" w:rsidRDefault="0091207C" w:rsidP="0091207C">
      <w:pPr>
        <w:spacing w:before="100" w:beforeAutospacing="1" w:after="100" w:afterAutospacing="1" w:line="240" w:lineRule="auto"/>
        <w:jc w:val="both"/>
        <w:rPr>
          <w:rFonts w:eastAsia="Times New Roman" w:cstheme="minorHAnsi"/>
          <w:b/>
          <w:bCs/>
        </w:rPr>
      </w:pPr>
      <w:r w:rsidRPr="0055691E">
        <w:rPr>
          <w:rFonts w:eastAsia="Times New Roman" w:cstheme="minorHAnsi"/>
          <w:b/>
          <w:bCs/>
        </w:rPr>
        <w:t xml:space="preserve">How </w:t>
      </w:r>
      <w:r>
        <w:rPr>
          <w:rFonts w:eastAsia="Times New Roman" w:cstheme="minorHAnsi"/>
          <w:b/>
          <w:bCs/>
        </w:rPr>
        <w:t xml:space="preserve">a </w:t>
      </w:r>
      <w:r>
        <w:rPr>
          <w:rFonts w:eastAsia="Times New Roman" w:cstheme="minorHAnsi"/>
          <w:b/>
          <w:bCs/>
        </w:rPr>
        <w:t xml:space="preserve">third-party processor </w:t>
      </w:r>
      <w:r>
        <w:rPr>
          <w:rFonts w:eastAsia="Times New Roman" w:cstheme="minorHAnsi"/>
          <w:b/>
          <w:bCs/>
        </w:rPr>
        <w:t xml:space="preserve">company is </w:t>
      </w:r>
      <w:r w:rsidRPr="0055691E">
        <w:rPr>
          <w:rFonts w:eastAsia="Times New Roman" w:cstheme="minorHAnsi"/>
          <w:b/>
          <w:bCs/>
        </w:rPr>
        <w:t xml:space="preserve">compliant with GDPR </w:t>
      </w:r>
      <w:r>
        <w:rPr>
          <w:rFonts w:eastAsia="Times New Roman" w:cstheme="minorHAnsi"/>
          <w:b/>
          <w:bCs/>
        </w:rPr>
        <w:t>regarding its clients</w:t>
      </w:r>
      <w:r>
        <w:rPr>
          <w:rFonts w:eastAsia="Times New Roman" w:cstheme="minorHAnsi"/>
          <w:b/>
          <w:bCs/>
        </w:rPr>
        <w:t>?</w:t>
      </w:r>
    </w:p>
    <w:p w14:paraId="21A0E829" w14:textId="3650570D" w:rsidR="0091207C" w:rsidRPr="0091207C" w:rsidRDefault="00C63F80" w:rsidP="0091207C">
      <w:pPr>
        <w:shd w:val="clear" w:color="auto" w:fill="FFFFFF"/>
        <w:spacing w:before="100" w:beforeAutospacing="1" w:after="100" w:afterAutospacing="1" w:line="240" w:lineRule="auto"/>
        <w:jc w:val="both"/>
        <w:rPr>
          <w:rFonts w:eastAsia="Times New Roman" w:cstheme="minorHAnsi"/>
          <w:color w:val="222222"/>
        </w:rPr>
      </w:pPr>
      <w:r w:rsidRPr="00C63F80">
        <w:rPr>
          <w:rFonts w:eastAsia="Times New Roman" w:cstheme="minorHAnsi"/>
          <w:color w:val="222222"/>
        </w:rPr>
        <w:t xml:space="preserve">By following these steps, </w:t>
      </w:r>
      <w:r>
        <w:rPr>
          <w:rFonts w:eastAsia="Times New Roman" w:cstheme="minorHAnsi"/>
          <w:color w:val="222222"/>
        </w:rPr>
        <w:t>the</w:t>
      </w:r>
      <w:r w:rsidRPr="00C63F80">
        <w:rPr>
          <w:rFonts w:eastAsia="Times New Roman" w:cstheme="minorHAnsi"/>
          <w:color w:val="222222"/>
        </w:rPr>
        <w:t xml:space="preserve"> company can ensure that it is GDPR compliant and is handling personal data in a way that respects the rights of individuals and protects their privacy.</w:t>
      </w:r>
      <w:r w:rsidR="0091207C">
        <w:rPr>
          <w:rFonts w:eastAsia="Times New Roman" w:cstheme="minorHAnsi"/>
          <w:color w:val="222222"/>
        </w:rPr>
        <w:t xml:space="preserve"> </w:t>
      </w:r>
      <w:r w:rsidR="0091207C" w:rsidRPr="0091207C">
        <w:rPr>
          <w:rFonts w:eastAsia="Times New Roman" w:cstheme="minorHAnsi"/>
          <w:color w:val="222222"/>
        </w:rPr>
        <w:t xml:space="preserve">If </w:t>
      </w:r>
      <w:r w:rsidR="0091207C">
        <w:rPr>
          <w:rFonts w:eastAsia="Times New Roman" w:cstheme="minorHAnsi"/>
          <w:color w:val="222222"/>
        </w:rPr>
        <w:t>the</w:t>
      </w:r>
      <w:r w:rsidR="0091207C" w:rsidRPr="0091207C">
        <w:rPr>
          <w:rFonts w:eastAsia="Times New Roman" w:cstheme="minorHAnsi"/>
          <w:color w:val="222222"/>
        </w:rPr>
        <w:t xml:space="preserve"> company is a third-party processor, meaning that you are processing personal data on behalf of another company (known as the data controller), then you have additional responsibilities under GDPR. </w:t>
      </w:r>
    </w:p>
    <w:p w14:paraId="77F510DB" w14:textId="101A050C" w:rsidR="0091207C" w:rsidRPr="0091207C" w:rsidRDefault="0091207C" w:rsidP="0091207C">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rPr>
      </w:pPr>
      <w:r w:rsidRPr="0091207C">
        <w:rPr>
          <w:rFonts w:eastAsia="Times New Roman" w:cstheme="minorHAnsi"/>
          <w:color w:val="222222"/>
        </w:rPr>
        <w:t xml:space="preserve">In this case, </w:t>
      </w:r>
      <w:r>
        <w:rPr>
          <w:rFonts w:eastAsia="Times New Roman" w:cstheme="minorHAnsi"/>
          <w:color w:val="222222"/>
        </w:rPr>
        <w:t>the</w:t>
      </w:r>
      <w:r w:rsidRPr="0091207C">
        <w:rPr>
          <w:rFonts w:eastAsia="Times New Roman" w:cstheme="minorHAnsi"/>
          <w:color w:val="222222"/>
        </w:rPr>
        <w:t xml:space="preserve"> company must have a written agreement, called a Data Processing Agreement (DPA), with the data controller that outlines the terms of the processing, the nature and purpose of the processing, the type of data being processed, and the security measures in place to protect personal data.</w:t>
      </w:r>
    </w:p>
    <w:p w14:paraId="50BE8DAA" w14:textId="4584BCE9" w:rsidR="0091207C" w:rsidRPr="0091207C" w:rsidRDefault="0091207C" w:rsidP="0091207C">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rPr>
      </w:pPr>
      <w:r w:rsidRPr="0091207C">
        <w:rPr>
          <w:rFonts w:eastAsia="Times New Roman" w:cstheme="minorHAnsi"/>
          <w:color w:val="222222"/>
        </w:rPr>
        <w:t xml:space="preserve">The DPA should also specify that </w:t>
      </w:r>
      <w:r w:rsidR="00B844A3">
        <w:rPr>
          <w:rFonts w:eastAsia="Times New Roman" w:cstheme="minorHAnsi"/>
          <w:color w:val="222222"/>
        </w:rPr>
        <w:t>the</w:t>
      </w:r>
      <w:r w:rsidRPr="0091207C">
        <w:rPr>
          <w:rFonts w:eastAsia="Times New Roman" w:cstheme="minorHAnsi"/>
          <w:color w:val="222222"/>
        </w:rPr>
        <w:t xml:space="preserve"> company must only process the data for the purposes outlined in the agreement and that you must implement appropriate technical and organizational measures to ensure the security of the personal data. </w:t>
      </w:r>
      <w:r w:rsidR="00B844A3">
        <w:rPr>
          <w:rFonts w:eastAsia="Times New Roman" w:cstheme="minorHAnsi"/>
          <w:color w:val="222222"/>
        </w:rPr>
        <w:t>The</w:t>
      </w:r>
      <w:r w:rsidRPr="0091207C">
        <w:rPr>
          <w:rFonts w:eastAsia="Times New Roman" w:cstheme="minorHAnsi"/>
          <w:color w:val="222222"/>
        </w:rPr>
        <w:t xml:space="preserve"> company must also ensure that the data controller is able to comply with its GDPR obligations, such as responding to data subject requests, and must assist the data controller in meeting its obligations if requested to do so.</w:t>
      </w:r>
    </w:p>
    <w:p w14:paraId="6D3D5097" w14:textId="538781B9" w:rsidR="0091207C" w:rsidRPr="00B844A3" w:rsidRDefault="0091207C" w:rsidP="0091207C">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FF0000"/>
        </w:rPr>
      </w:pPr>
      <w:r w:rsidRPr="00B844A3">
        <w:rPr>
          <w:rFonts w:eastAsia="Times New Roman" w:cstheme="minorHAnsi"/>
          <w:color w:val="FF0000"/>
        </w:rPr>
        <w:t xml:space="preserve">Additionally, if </w:t>
      </w:r>
      <w:r w:rsidR="00B844A3" w:rsidRPr="00B844A3">
        <w:rPr>
          <w:rFonts w:eastAsia="Times New Roman" w:cstheme="minorHAnsi"/>
          <w:color w:val="FF0000"/>
        </w:rPr>
        <w:t>the</w:t>
      </w:r>
      <w:r w:rsidRPr="00B844A3">
        <w:rPr>
          <w:rFonts w:eastAsia="Times New Roman" w:cstheme="minorHAnsi"/>
          <w:color w:val="FF0000"/>
        </w:rPr>
        <w:t xml:space="preserve"> company is a third-party processor and engages in cross-border processing of personal data, meaning that the personal data is being transferred outside of the EU, </w:t>
      </w:r>
      <w:r w:rsidR="00B844A3" w:rsidRPr="00B844A3">
        <w:rPr>
          <w:rFonts w:eastAsia="Times New Roman" w:cstheme="minorHAnsi"/>
          <w:color w:val="FF0000"/>
        </w:rPr>
        <w:t xml:space="preserve">it </w:t>
      </w:r>
      <w:r w:rsidRPr="00B844A3">
        <w:rPr>
          <w:rFonts w:eastAsia="Times New Roman" w:cstheme="minorHAnsi"/>
          <w:color w:val="FF0000"/>
        </w:rPr>
        <w:t>must comply with additional requirements under GDPR. These requirements include ensuring that the data controller has provided appropriate safeguards for the transfer, such as binding corporate rules or standard contractual clauses, and that the transfer complies with any other requirements under GDPR.</w:t>
      </w:r>
    </w:p>
    <w:p w14:paraId="7873D121" w14:textId="271F3AB2" w:rsidR="0091207C" w:rsidRPr="0091207C" w:rsidRDefault="0091207C" w:rsidP="0091207C">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rPr>
      </w:pPr>
      <w:r w:rsidRPr="0091207C">
        <w:rPr>
          <w:rFonts w:eastAsia="Times New Roman" w:cstheme="minorHAnsi"/>
          <w:color w:val="222222"/>
        </w:rPr>
        <w:t xml:space="preserve">Overall, as a third-party processor, </w:t>
      </w:r>
      <w:r w:rsidR="00B844A3">
        <w:rPr>
          <w:rFonts w:eastAsia="Times New Roman" w:cstheme="minorHAnsi"/>
          <w:color w:val="222222"/>
        </w:rPr>
        <w:t>the</w:t>
      </w:r>
      <w:r w:rsidRPr="0091207C">
        <w:rPr>
          <w:rFonts w:eastAsia="Times New Roman" w:cstheme="minorHAnsi"/>
          <w:color w:val="222222"/>
        </w:rPr>
        <w:t xml:space="preserve"> company must ensure that it is GDPR compliant and is meeting its obligations under GDPR, both in terms of its relationship with the data controller and in terms of any cross-border processing of personal data.</w:t>
      </w:r>
    </w:p>
    <w:p w14:paraId="6029B1A0" w14:textId="77777777" w:rsidR="00C63F80" w:rsidRDefault="00C63F80" w:rsidP="0055691E">
      <w:pPr>
        <w:spacing w:before="100" w:beforeAutospacing="1" w:after="100" w:afterAutospacing="1" w:line="240" w:lineRule="auto"/>
        <w:jc w:val="both"/>
        <w:rPr>
          <w:rFonts w:eastAsia="Times New Roman" w:cstheme="minorHAnsi"/>
          <w:b/>
          <w:bCs/>
        </w:rPr>
      </w:pPr>
    </w:p>
    <w:p w14:paraId="2C23C66D" w14:textId="73801E7C" w:rsidR="00C63F80" w:rsidRDefault="00C63F80" w:rsidP="0055691E">
      <w:pPr>
        <w:spacing w:before="100" w:beforeAutospacing="1" w:after="100" w:afterAutospacing="1" w:line="240" w:lineRule="auto"/>
        <w:jc w:val="both"/>
        <w:rPr>
          <w:rFonts w:eastAsia="Times New Roman" w:cstheme="minorHAnsi"/>
          <w:b/>
          <w:bCs/>
        </w:rPr>
      </w:pPr>
    </w:p>
    <w:p w14:paraId="151E618D" w14:textId="77777777" w:rsidR="00C63F80" w:rsidRPr="00B10BE6" w:rsidRDefault="00C63F80" w:rsidP="0055691E">
      <w:pPr>
        <w:spacing w:before="100" w:beforeAutospacing="1" w:after="100" w:afterAutospacing="1" w:line="240" w:lineRule="auto"/>
        <w:jc w:val="both"/>
        <w:rPr>
          <w:rFonts w:eastAsia="Times New Roman" w:cstheme="minorHAnsi"/>
          <w:b/>
          <w:bCs/>
        </w:rPr>
      </w:pPr>
    </w:p>
    <w:p w14:paraId="4D85DED1" w14:textId="77777777" w:rsidR="00C63F80" w:rsidRDefault="00C63F80" w:rsidP="001E64AE">
      <w:pPr>
        <w:shd w:val="clear" w:color="auto" w:fill="FFFFFF"/>
        <w:spacing w:before="100" w:beforeAutospacing="1" w:after="100" w:afterAutospacing="1" w:line="240" w:lineRule="auto"/>
        <w:jc w:val="both"/>
        <w:rPr>
          <w:rFonts w:eastAsia="Times New Roman" w:cstheme="minorHAnsi"/>
          <w:color w:val="222222"/>
        </w:rPr>
      </w:pPr>
    </w:p>
    <w:p w14:paraId="0250720E" w14:textId="3CA0F558" w:rsidR="001E64AE" w:rsidRDefault="001E64AE" w:rsidP="001E64AE">
      <w:pPr>
        <w:shd w:val="clear" w:color="auto" w:fill="FFFFFF"/>
        <w:spacing w:before="100" w:beforeAutospacing="1" w:after="100" w:afterAutospacing="1" w:line="240" w:lineRule="auto"/>
        <w:jc w:val="both"/>
        <w:rPr>
          <w:rFonts w:eastAsia="Times New Roman" w:cstheme="minorHAnsi"/>
          <w:color w:val="222222"/>
        </w:rPr>
      </w:pPr>
      <w:r>
        <w:rPr>
          <w:rFonts w:eastAsia="Times New Roman" w:cstheme="minorHAnsi"/>
          <w:color w:val="222222"/>
        </w:rPr>
        <w:lastRenderedPageBreak/>
        <w:t>For McKinsey:</w:t>
      </w:r>
    </w:p>
    <w:p w14:paraId="531B4F66" w14:textId="38DE33D5" w:rsidR="00B10BE6" w:rsidRDefault="00B10BE6" w:rsidP="001E64AE">
      <w:pPr>
        <w:shd w:val="clear" w:color="auto" w:fill="FFFFFF"/>
        <w:spacing w:before="100" w:beforeAutospacing="1" w:after="100" w:afterAutospacing="1" w:line="240" w:lineRule="auto"/>
        <w:rPr>
          <w:rFonts w:eastAsia="Times New Roman" w:cstheme="minorHAnsi"/>
          <w:color w:val="222222"/>
          <w:shd w:val="clear" w:color="auto" w:fill="FFFFFF"/>
        </w:rPr>
      </w:pPr>
      <w:r w:rsidRPr="00B10BE6">
        <w:rPr>
          <w:rFonts w:eastAsia="Times New Roman" w:cstheme="minorHAnsi"/>
          <w:color w:val="222222"/>
        </w:rPr>
        <w:t>On McKinsey's websites it details its </w:t>
      </w:r>
      <w:hyperlink r:id="rId8" w:tgtFrame="_blank" w:history="1">
        <w:r w:rsidRPr="00B10BE6">
          <w:rPr>
            <w:rFonts w:eastAsia="Times New Roman" w:cstheme="minorHAnsi"/>
            <w:color w:val="1155CC"/>
            <w:u w:val="single"/>
          </w:rPr>
          <w:t xml:space="preserve">Third Party </w:t>
        </w:r>
        <w:r w:rsidRPr="00B10BE6">
          <w:rPr>
            <w:rFonts w:eastAsia="Times New Roman" w:cstheme="minorHAnsi"/>
            <w:color w:val="1155CC"/>
            <w:u w:val="single"/>
          </w:rPr>
          <w:t>S</w:t>
        </w:r>
        <w:r w:rsidRPr="00B10BE6">
          <w:rPr>
            <w:rFonts w:eastAsia="Times New Roman" w:cstheme="minorHAnsi"/>
            <w:color w:val="1155CC"/>
            <w:u w:val="single"/>
          </w:rPr>
          <w:t>ub Processors</w:t>
        </w:r>
      </w:hyperlink>
      <w:r w:rsidRPr="00B10BE6">
        <w:rPr>
          <w:rFonts w:eastAsia="Times New Roman" w:cstheme="minorHAnsi"/>
          <w:color w:val="222222"/>
        </w:rPr>
        <w:t xml:space="preserve"> and also provides </w:t>
      </w:r>
      <w:r w:rsidR="001E64AE">
        <w:rPr>
          <w:rFonts w:eastAsia="Times New Roman" w:cstheme="minorHAnsi"/>
          <w:color w:val="222222"/>
        </w:rPr>
        <w:t>i</w:t>
      </w:r>
      <w:r w:rsidRPr="00B10BE6">
        <w:rPr>
          <w:rFonts w:eastAsia="Times New Roman" w:cstheme="minorHAnsi"/>
          <w:color w:val="222222"/>
        </w:rPr>
        <w:t>ts</w:t>
      </w:r>
      <w:r w:rsidR="001E64AE">
        <w:rPr>
          <w:rFonts w:eastAsia="Times New Roman" w:cstheme="minorHAnsi"/>
          <w:color w:val="222222"/>
        </w:rPr>
        <w:t xml:space="preserve"> </w:t>
      </w:r>
      <w:hyperlink r:id="rId9" w:tgtFrame="_blank" w:history="1">
        <w:r w:rsidRPr="00B10BE6">
          <w:rPr>
            <w:rFonts w:eastAsia="Times New Roman" w:cstheme="minorHAnsi"/>
            <w:color w:val="1155CC"/>
            <w:u w:val="single"/>
          </w:rPr>
          <w:t>McKinsey Data Protection Pro</w:t>
        </w:r>
        <w:r w:rsidRPr="00B10BE6">
          <w:rPr>
            <w:rFonts w:eastAsia="Times New Roman" w:cstheme="minorHAnsi"/>
            <w:color w:val="1155CC"/>
            <w:u w:val="single"/>
          </w:rPr>
          <w:t>t</w:t>
        </w:r>
        <w:r w:rsidRPr="00B10BE6">
          <w:rPr>
            <w:rFonts w:eastAsia="Times New Roman" w:cstheme="minorHAnsi"/>
            <w:color w:val="1155CC"/>
            <w:u w:val="single"/>
          </w:rPr>
          <w:t>ocols</w:t>
        </w:r>
      </w:hyperlink>
      <w:r w:rsidRPr="00B10BE6">
        <w:rPr>
          <w:rFonts w:eastAsia="Times New Roman" w:cstheme="minorHAnsi"/>
          <w:color w:val="1155CC"/>
          <w:u w:val="single"/>
        </w:rPr>
        <w:t>.</w:t>
      </w:r>
      <w:r w:rsidR="001E64AE">
        <w:rPr>
          <w:rFonts w:eastAsia="Times New Roman" w:cstheme="minorHAnsi"/>
          <w:color w:val="1155CC"/>
          <w:u w:val="single"/>
        </w:rPr>
        <w:t xml:space="preserve"> </w:t>
      </w:r>
      <w:r w:rsidR="001E64AE">
        <w:rPr>
          <w:rFonts w:eastAsia="Times New Roman" w:cstheme="minorHAnsi"/>
          <w:color w:val="222222"/>
          <w:shd w:val="clear" w:color="auto" w:fill="FFFFFF"/>
        </w:rPr>
        <w:t>I</w:t>
      </w:r>
      <w:r w:rsidRPr="00B10BE6">
        <w:rPr>
          <w:rFonts w:eastAsia="Times New Roman" w:cstheme="minorHAnsi"/>
          <w:color w:val="222222"/>
          <w:shd w:val="clear" w:color="auto" w:fill="FFFFFF"/>
        </w:rPr>
        <w:t xml:space="preserve">f personal data is involved, they must tell the client they work with Infomineo and then list them on their website </w:t>
      </w:r>
      <w:r w:rsidR="001E64AE">
        <w:rPr>
          <w:rFonts w:eastAsia="Times New Roman" w:cstheme="minorHAnsi"/>
          <w:color w:val="222222"/>
          <w:shd w:val="clear" w:color="auto" w:fill="FFFFFF"/>
        </w:rPr>
        <w:t>as Third-Party Sub Processors</w:t>
      </w:r>
      <w:r w:rsidR="008A74F1">
        <w:rPr>
          <w:rFonts w:eastAsia="Times New Roman" w:cstheme="minorHAnsi"/>
          <w:color w:val="222222"/>
          <w:shd w:val="clear" w:color="auto" w:fill="FFFFFF"/>
        </w:rPr>
        <w:t>.</w:t>
      </w:r>
    </w:p>
    <w:p w14:paraId="6891F083" w14:textId="77777777" w:rsidR="00B844A3" w:rsidRDefault="00B844A3">
      <w:pPr>
        <w:rPr>
          <w:rFonts w:eastAsia="Times New Roman" w:cstheme="minorHAnsi"/>
          <w:color w:val="222222"/>
          <w:shd w:val="clear" w:color="auto" w:fill="FFFFFF"/>
        </w:rPr>
      </w:pPr>
      <w:r>
        <w:rPr>
          <w:rFonts w:eastAsia="Times New Roman" w:cstheme="minorHAnsi"/>
          <w:color w:val="222222"/>
          <w:shd w:val="clear" w:color="auto" w:fill="FFFFFF"/>
        </w:rPr>
        <w:br w:type="page"/>
      </w:r>
    </w:p>
    <w:p w14:paraId="54314588" w14:textId="05354B2F" w:rsidR="001E64AE" w:rsidRDefault="001E64AE" w:rsidP="00B10BE6">
      <w:pPr>
        <w:jc w:val="both"/>
        <w:rPr>
          <w:rFonts w:cstheme="minorHAnsi"/>
        </w:rPr>
      </w:pPr>
      <w:r>
        <w:rPr>
          <w:rFonts w:eastAsia="Times New Roman" w:cstheme="minorHAnsi"/>
          <w:noProof/>
          <w:color w:val="1155CC"/>
        </w:rPr>
        <w:lastRenderedPageBreak/>
        <w:drawing>
          <wp:inline distT="0" distB="0" distL="0" distR="0" wp14:anchorId="4F524C7F" wp14:editId="3359A267">
            <wp:extent cx="5943600" cy="6548186"/>
            <wp:effectExtent l="0" t="0" r="0" b="508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48186"/>
                    </a:xfrm>
                    <a:prstGeom prst="rect">
                      <a:avLst/>
                    </a:prstGeom>
                    <a:noFill/>
                  </pic:spPr>
                </pic:pic>
              </a:graphicData>
            </a:graphic>
          </wp:inline>
        </w:drawing>
      </w:r>
    </w:p>
    <w:p w14:paraId="7CC7AC6B" w14:textId="0FAC76B8" w:rsidR="001E64AE" w:rsidRDefault="001E64AE" w:rsidP="00B10BE6">
      <w:pPr>
        <w:jc w:val="both"/>
        <w:rPr>
          <w:rFonts w:cstheme="minorHAnsi"/>
        </w:rPr>
      </w:pPr>
    </w:p>
    <w:p w14:paraId="66531D6D" w14:textId="003470C8" w:rsidR="001E64AE" w:rsidRDefault="001E64AE" w:rsidP="00B10BE6">
      <w:pPr>
        <w:jc w:val="both"/>
        <w:rPr>
          <w:rFonts w:cstheme="minorHAnsi"/>
        </w:rPr>
      </w:pPr>
      <w:r w:rsidRPr="001E64AE">
        <w:rPr>
          <w:rFonts w:eastAsia="Times New Roman" w:cstheme="minorHAnsi"/>
          <w:noProof/>
          <w:color w:val="1155CC"/>
        </w:rPr>
        <w:lastRenderedPageBreak/>
        <w:drawing>
          <wp:inline distT="0" distB="0" distL="0" distR="0" wp14:anchorId="20CC8D51" wp14:editId="62562E8C">
            <wp:extent cx="5645150" cy="7248700"/>
            <wp:effectExtent l="0" t="0" r="0"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912" cy="7256098"/>
                    </a:xfrm>
                    <a:prstGeom prst="rect">
                      <a:avLst/>
                    </a:prstGeom>
                    <a:noFill/>
                  </pic:spPr>
                </pic:pic>
              </a:graphicData>
            </a:graphic>
          </wp:inline>
        </w:drawing>
      </w:r>
    </w:p>
    <w:p w14:paraId="76D761AC" w14:textId="6F07D381" w:rsidR="008A74F1" w:rsidRDefault="008A74F1" w:rsidP="00B10BE6">
      <w:pPr>
        <w:jc w:val="both"/>
        <w:rPr>
          <w:rFonts w:cstheme="minorHAnsi"/>
        </w:rPr>
      </w:pPr>
      <w:r w:rsidRPr="008A74F1">
        <w:rPr>
          <w:rFonts w:cstheme="minorHAnsi"/>
        </w:rPr>
        <w:lastRenderedPageBreak/>
        <w:drawing>
          <wp:inline distT="0" distB="0" distL="0" distR="0" wp14:anchorId="1A49EEE1" wp14:editId="5DC42B90">
            <wp:extent cx="5903856" cy="2584450"/>
            <wp:effectExtent l="0" t="0" r="1905" b="635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2"/>
                    <a:stretch>
                      <a:fillRect/>
                    </a:stretch>
                  </pic:blipFill>
                  <pic:spPr>
                    <a:xfrm>
                      <a:off x="0" y="0"/>
                      <a:ext cx="5914504" cy="2589111"/>
                    </a:xfrm>
                    <a:prstGeom prst="rect">
                      <a:avLst/>
                    </a:prstGeom>
                  </pic:spPr>
                </pic:pic>
              </a:graphicData>
            </a:graphic>
          </wp:inline>
        </w:drawing>
      </w:r>
    </w:p>
    <w:p w14:paraId="6BA9A7DD" w14:textId="77777777" w:rsidR="008A74F1" w:rsidRPr="00B10BE6" w:rsidRDefault="008A74F1" w:rsidP="00B10BE6">
      <w:pPr>
        <w:jc w:val="both"/>
        <w:rPr>
          <w:rFonts w:cstheme="minorHAnsi"/>
        </w:rPr>
      </w:pPr>
    </w:p>
    <w:sectPr w:rsidR="008A74F1" w:rsidRPr="00B10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F958" w14:textId="77777777" w:rsidR="00A5309D" w:rsidRDefault="00A5309D" w:rsidP="00B10BE6">
      <w:pPr>
        <w:spacing w:after="0" w:line="240" w:lineRule="auto"/>
      </w:pPr>
      <w:r>
        <w:separator/>
      </w:r>
    </w:p>
  </w:endnote>
  <w:endnote w:type="continuationSeparator" w:id="0">
    <w:p w14:paraId="310D94CD" w14:textId="77777777" w:rsidR="00A5309D" w:rsidRDefault="00A5309D" w:rsidP="00B1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153D" w14:textId="77777777" w:rsidR="00A5309D" w:rsidRDefault="00A5309D" w:rsidP="00B10BE6">
      <w:pPr>
        <w:spacing w:after="0" w:line="240" w:lineRule="auto"/>
      </w:pPr>
      <w:r>
        <w:separator/>
      </w:r>
    </w:p>
  </w:footnote>
  <w:footnote w:type="continuationSeparator" w:id="0">
    <w:p w14:paraId="616565F1" w14:textId="77777777" w:rsidR="00A5309D" w:rsidRDefault="00A5309D" w:rsidP="00B10BE6">
      <w:pPr>
        <w:spacing w:after="0" w:line="240" w:lineRule="auto"/>
      </w:pPr>
      <w:r>
        <w:continuationSeparator/>
      </w:r>
    </w:p>
  </w:footnote>
  <w:footnote w:id="1">
    <w:p w14:paraId="41896D79" w14:textId="3B494152" w:rsidR="00B10BE6" w:rsidRPr="00B10BE6" w:rsidRDefault="00B10BE6" w:rsidP="00B10BE6">
      <w:pPr>
        <w:pStyle w:val="FootnoteText"/>
      </w:pPr>
      <w:r>
        <w:rPr>
          <w:rStyle w:val="FootnoteReference"/>
        </w:rPr>
        <w:footnoteRef/>
      </w:r>
      <w:r>
        <w:t xml:space="preserve"> Information taken from the web site:  </w:t>
      </w:r>
      <w:hyperlink r:id="rId1" w:anchor=":~:text=The%20UK%20GDPR%20only%20applies,to%20an%20identifiable%20living%20individual." w:tgtFrame="_blank" w:history="1">
        <w:r w:rsidRPr="00B10BE6">
          <w:rPr>
            <w:rStyle w:val="Hyperlink"/>
          </w:rPr>
          <w:t>UK ICO</w:t>
        </w:r>
      </w:hyperlink>
    </w:p>
    <w:p w14:paraId="564B8971" w14:textId="5039903A" w:rsidR="00B10BE6" w:rsidRDefault="00B10BE6">
      <w:pPr>
        <w:pStyle w:val="FootnoteText"/>
      </w:pPr>
    </w:p>
  </w:footnote>
  <w:footnote w:id="2">
    <w:p w14:paraId="26B1EAFF" w14:textId="43DCEF3F" w:rsidR="00B10BE6" w:rsidRDefault="00B10BE6">
      <w:pPr>
        <w:pStyle w:val="FootnoteText"/>
      </w:pPr>
      <w:r>
        <w:rPr>
          <w:rStyle w:val="FootnoteReference"/>
        </w:rPr>
        <w:footnoteRef/>
      </w:r>
      <w:r>
        <w:t xml:space="preserve"> Information taken from the web site: </w:t>
      </w:r>
      <w:hyperlink r:id="rId2" w:tgtFrame="_blank" w:history="1">
        <w:r w:rsidRPr="00B10BE6">
          <w:rPr>
            <w:rStyle w:val="Hyperlink"/>
          </w:rPr>
          <w:t>EU GDPR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5675"/>
    <w:multiLevelType w:val="multilevel"/>
    <w:tmpl w:val="3500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13637"/>
    <w:multiLevelType w:val="hybridMultilevel"/>
    <w:tmpl w:val="29A6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035BB"/>
    <w:multiLevelType w:val="multilevel"/>
    <w:tmpl w:val="E7E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06EE6"/>
    <w:multiLevelType w:val="multilevel"/>
    <w:tmpl w:val="76D2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4383A"/>
    <w:multiLevelType w:val="hybridMultilevel"/>
    <w:tmpl w:val="86DA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042564">
    <w:abstractNumId w:val="0"/>
  </w:num>
  <w:num w:numId="2" w16cid:durableId="235634038">
    <w:abstractNumId w:val="2"/>
  </w:num>
  <w:num w:numId="3" w16cid:durableId="1271400778">
    <w:abstractNumId w:val="3"/>
  </w:num>
  <w:num w:numId="4" w16cid:durableId="184905874">
    <w:abstractNumId w:val="4"/>
  </w:num>
  <w:num w:numId="5" w16cid:durableId="560866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6"/>
    <w:rsid w:val="001E64AE"/>
    <w:rsid w:val="00372C46"/>
    <w:rsid w:val="0055691E"/>
    <w:rsid w:val="006D5A28"/>
    <w:rsid w:val="008A74F1"/>
    <w:rsid w:val="0091207C"/>
    <w:rsid w:val="00A5309D"/>
    <w:rsid w:val="00B10BE6"/>
    <w:rsid w:val="00B844A3"/>
    <w:rsid w:val="00C63F80"/>
    <w:rsid w:val="00EC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BD3A"/>
  <w15:chartTrackingRefBased/>
  <w15:docId w15:val="{37EB00B6-95FE-4789-A3F8-AE97D8D2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B10BE6"/>
  </w:style>
  <w:style w:type="character" w:styleId="Hyperlink">
    <w:name w:val="Hyperlink"/>
    <w:basedOn w:val="DefaultParagraphFont"/>
    <w:uiPriority w:val="99"/>
    <w:unhideWhenUsed/>
    <w:rsid w:val="00B10BE6"/>
    <w:rPr>
      <w:color w:val="0000FF"/>
      <w:u w:val="single"/>
    </w:rPr>
  </w:style>
  <w:style w:type="paragraph" w:styleId="FootnoteText">
    <w:name w:val="footnote text"/>
    <w:basedOn w:val="Normal"/>
    <w:link w:val="FootnoteTextChar"/>
    <w:uiPriority w:val="99"/>
    <w:semiHidden/>
    <w:unhideWhenUsed/>
    <w:rsid w:val="00B10B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0BE6"/>
    <w:rPr>
      <w:sz w:val="20"/>
      <w:szCs w:val="20"/>
    </w:rPr>
  </w:style>
  <w:style w:type="character" w:styleId="FootnoteReference">
    <w:name w:val="footnote reference"/>
    <w:basedOn w:val="DefaultParagraphFont"/>
    <w:uiPriority w:val="99"/>
    <w:semiHidden/>
    <w:unhideWhenUsed/>
    <w:rsid w:val="00B10BE6"/>
    <w:rPr>
      <w:vertAlign w:val="superscript"/>
    </w:rPr>
  </w:style>
  <w:style w:type="character" w:styleId="UnresolvedMention">
    <w:name w:val="Unresolved Mention"/>
    <w:basedOn w:val="DefaultParagraphFont"/>
    <w:uiPriority w:val="99"/>
    <w:semiHidden/>
    <w:unhideWhenUsed/>
    <w:rsid w:val="00B10BE6"/>
    <w:rPr>
      <w:color w:val="605E5C"/>
      <w:shd w:val="clear" w:color="auto" w:fill="E1DFDD"/>
    </w:rPr>
  </w:style>
  <w:style w:type="character" w:styleId="FollowedHyperlink">
    <w:name w:val="FollowedHyperlink"/>
    <w:basedOn w:val="DefaultParagraphFont"/>
    <w:uiPriority w:val="99"/>
    <w:semiHidden/>
    <w:unhideWhenUsed/>
    <w:rsid w:val="001E64AE"/>
    <w:rPr>
      <w:color w:val="954F72" w:themeColor="followedHyperlink"/>
      <w:u w:val="single"/>
    </w:rPr>
  </w:style>
  <w:style w:type="paragraph" w:styleId="ListParagraph">
    <w:name w:val="List Paragraph"/>
    <w:basedOn w:val="Normal"/>
    <w:uiPriority w:val="34"/>
    <w:qFormat/>
    <w:rsid w:val="00C6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827">
      <w:bodyDiv w:val="1"/>
      <w:marLeft w:val="0"/>
      <w:marRight w:val="0"/>
      <w:marTop w:val="0"/>
      <w:marBottom w:val="0"/>
      <w:divBdr>
        <w:top w:val="none" w:sz="0" w:space="0" w:color="auto"/>
        <w:left w:val="none" w:sz="0" w:space="0" w:color="auto"/>
        <w:bottom w:val="none" w:sz="0" w:space="0" w:color="auto"/>
        <w:right w:val="none" w:sz="0" w:space="0" w:color="auto"/>
      </w:divBdr>
    </w:div>
    <w:div w:id="1661233612">
      <w:bodyDiv w:val="1"/>
      <w:marLeft w:val="0"/>
      <w:marRight w:val="0"/>
      <w:marTop w:val="0"/>
      <w:marBottom w:val="0"/>
      <w:divBdr>
        <w:top w:val="none" w:sz="0" w:space="0" w:color="auto"/>
        <w:left w:val="none" w:sz="0" w:space="0" w:color="auto"/>
        <w:bottom w:val="none" w:sz="0" w:space="0" w:color="auto"/>
        <w:right w:val="none" w:sz="0" w:space="0" w:color="auto"/>
      </w:divBdr>
      <w:divsChild>
        <w:div w:id="724332986">
          <w:marLeft w:val="0"/>
          <w:marRight w:val="0"/>
          <w:marTop w:val="0"/>
          <w:marBottom w:val="0"/>
          <w:divBdr>
            <w:top w:val="none" w:sz="0" w:space="0" w:color="auto"/>
            <w:left w:val="none" w:sz="0" w:space="0" w:color="auto"/>
            <w:bottom w:val="none" w:sz="0" w:space="0" w:color="auto"/>
            <w:right w:val="none" w:sz="0" w:space="0" w:color="auto"/>
          </w:divBdr>
        </w:div>
        <w:div w:id="284966794">
          <w:marLeft w:val="0"/>
          <w:marRight w:val="0"/>
          <w:marTop w:val="0"/>
          <w:marBottom w:val="0"/>
          <w:divBdr>
            <w:top w:val="none" w:sz="0" w:space="0" w:color="auto"/>
            <w:left w:val="none" w:sz="0" w:space="0" w:color="auto"/>
            <w:bottom w:val="none" w:sz="0" w:space="0" w:color="auto"/>
            <w:right w:val="none" w:sz="0" w:space="0" w:color="auto"/>
          </w:divBdr>
        </w:div>
        <w:div w:id="72705851">
          <w:marLeft w:val="0"/>
          <w:marRight w:val="0"/>
          <w:marTop w:val="0"/>
          <w:marBottom w:val="0"/>
          <w:divBdr>
            <w:top w:val="none" w:sz="0" w:space="0" w:color="auto"/>
            <w:left w:val="none" w:sz="0" w:space="0" w:color="auto"/>
            <w:bottom w:val="none" w:sz="0" w:space="0" w:color="auto"/>
            <w:right w:val="none" w:sz="0" w:space="0" w:color="auto"/>
          </w:divBdr>
        </w:div>
        <w:div w:id="2082482096">
          <w:marLeft w:val="0"/>
          <w:marRight w:val="0"/>
          <w:marTop w:val="0"/>
          <w:marBottom w:val="0"/>
          <w:divBdr>
            <w:top w:val="none" w:sz="0" w:space="0" w:color="auto"/>
            <w:left w:val="none" w:sz="0" w:space="0" w:color="auto"/>
            <w:bottom w:val="none" w:sz="0" w:space="0" w:color="auto"/>
            <w:right w:val="none" w:sz="0" w:space="0" w:color="auto"/>
          </w:divBdr>
          <w:divsChild>
            <w:div w:id="2033342487">
              <w:marLeft w:val="0"/>
              <w:marRight w:val="0"/>
              <w:marTop w:val="0"/>
              <w:marBottom w:val="0"/>
              <w:divBdr>
                <w:top w:val="none" w:sz="0" w:space="0" w:color="auto"/>
                <w:left w:val="none" w:sz="0" w:space="0" w:color="auto"/>
                <w:bottom w:val="none" w:sz="0" w:space="0" w:color="auto"/>
                <w:right w:val="none" w:sz="0" w:space="0" w:color="auto"/>
              </w:divBdr>
            </w:div>
          </w:divsChild>
        </w:div>
        <w:div w:id="439570366">
          <w:marLeft w:val="0"/>
          <w:marRight w:val="0"/>
          <w:marTop w:val="0"/>
          <w:marBottom w:val="0"/>
          <w:divBdr>
            <w:top w:val="none" w:sz="0" w:space="0" w:color="auto"/>
            <w:left w:val="none" w:sz="0" w:space="0" w:color="auto"/>
            <w:bottom w:val="none" w:sz="0" w:space="0" w:color="auto"/>
            <w:right w:val="none" w:sz="0" w:space="0" w:color="auto"/>
          </w:divBdr>
        </w:div>
        <w:div w:id="1391617307">
          <w:marLeft w:val="0"/>
          <w:marRight w:val="0"/>
          <w:marTop w:val="0"/>
          <w:marBottom w:val="0"/>
          <w:divBdr>
            <w:top w:val="none" w:sz="0" w:space="0" w:color="auto"/>
            <w:left w:val="none" w:sz="0" w:space="0" w:color="auto"/>
            <w:bottom w:val="none" w:sz="0" w:space="0" w:color="auto"/>
            <w:right w:val="none" w:sz="0" w:space="0" w:color="auto"/>
          </w:divBdr>
        </w:div>
        <w:div w:id="1703937205">
          <w:marLeft w:val="0"/>
          <w:marRight w:val="0"/>
          <w:marTop w:val="0"/>
          <w:marBottom w:val="0"/>
          <w:divBdr>
            <w:top w:val="none" w:sz="0" w:space="0" w:color="auto"/>
            <w:left w:val="none" w:sz="0" w:space="0" w:color="auto"/>
            <w:bottom w:val="none" w:sz="0" w:space="0" w:color="auto"/>
            <w:right w:val="none" w:sz="0" w:space="0" w:color="auto"/>
          </w:divBdr>
        </w:div>
      </w:divsChild>
    </w:div>
    <w:div w:id="2095664582">
      <w:bodyDiv w:val="1"/>
      <w:marLeft w:val="0"/>
      <w:marRight w:val="0"/>
      <w:marTop w:val="0"/>
      <w:marBottom w:val="0"/>
      <w:divBdr>
        <w:top w:val="none" w:sz="0" w:space="0" w:color="auto"/>
        <w:left w:val="none" w:sz="0" w:space="0" w:color="auto"/>
        <w:bottom w:val="none" w:sz="0" w:space="0" w:color="auto"/>
        <w:right w:val="none" w:sz="0" w:space="0" w:color="auto"/>
      </w:divBdr>
      <w:divsChild>
        <w:div w:id="1770543771">
          <w:marLeft w:val="0"/>
          <w:marRight w:val="0"/>
          <w:marTop w:val="0"/>
          <w:marBottom w:val="0"/>
          <w:divBdr>
            <w:top w:val="none" w:sz="0" w:space="0" w:color="auto"/>
            <w:left w:val="none" w:sz="0" w:space="0" w:color="auto"/>
            <w:bottom w:val="none" w:sz="0" w:space="0" w:color="auto"/>
            <w:right w:val="none" w:sz="0" w:space="0" w:color="auto"/>
          </w:divBdr>
        </w:div>
        <w:div w:id="372582245">
          <w:marLeft w:val="0"/>
          <w:marRight w:val="0"/>
          <w:marTop w:val="0"/>
          <w:marBottom w:val="0"/>
          <w:divBdr>
            <w:top w:val="none" w:sz="0" w:space="0" w:color="auto"/>
            <w:left w:val="none" w:sz="0" w:space="0" w:color="auto"/>
            <w:bottom w:val="none" w:sz="0" w:space="0" w:color="auto"/>
            <w:right w:val="none" w:sz="0" w:space="0" w:color="auto"/>
          </w:divBdr>
        </w:div>
        <w:div w:id="2057461695">
          <w:marLeft w:val="0"/>
          <w:marRight w:val="0"/>
          <w:marTop w:val="0"/>
          <w:marBottom w:val="0"/>
          <w:divBdr>
            <w:top w:val="none" w:sz="0" w:space="0" w:color="auto"/>
            <w:left w:val="none" w:sz="0" w:space="0" w:color="auto"/>
            <w:bottom w:val="none" w:sz="0" w:space="0" w:color="auto"/>
            <w:right w:val="none" w:sz="0" w:space="0" w:color="auto"/>
          </w:divBdr>
        </w:div>
        <w:div w:id="149529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utions.mckinsey.com/msd/subprocesso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olutions.mckinsey.com/msd/data-protocols.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dpr.eu/eu-gdpr-personal-data/" TargetMode="External"/><Relationship Id="rId1" Type="http://schemas.openxmlformats.org/officeDocument/2006/relationships/hyperlink" Target="https://ico.org.uk/for-organisations/guide-to-data-protection/guide-to-the-general-data-protection-regulation-gdpr/what-is-personal-data/what-is-person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91D3A-A062-4B0C-A4CE-68B85C57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 2</dc:creator>
  <cp:keywords/>
  <dc:description/>
  <cp:lastModifiedBy>Casa 2</cp:lastModifiedBy>
  <cp:revision>1</cp:revision>
  <dcterms:created xsi:type="dcterms:W3CDTF">2023-03-07T09:15:00Z</dcterms:created>
  <dcterms:modified xsi:type="dcterms:W3CDTF">2023-03-07T10:20:00Z</dcterms:modified>
</cp:coreProperties>
</file>