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3610E5">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3610E5">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3610E5">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3610E5">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3610E5">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3610E5">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3610E5">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3610E5">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3610E5">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3610E5">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3610E5">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3610E5">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3610E5">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3610E5">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3610E5">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3610E5">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3610E5">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3610E5">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3610E5">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3610E5">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3610E5">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3610E5">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3610E5">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3610E5">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3610E5">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3610E5">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3610E5">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3610E5">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3610E5">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3610E5">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3610E5"/>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53758663"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w:t>
      </w:r>
      <w:commentRangeStart w:id="16"/>
      <w:r w:rsidR="004D11AB">
        <w:rPr>
          <w:rFonts w:ascii="Times New Roman" w:hAnsi="Times New Roman" w:cs="Times New Roman"/>
          <w:sz w:val="24"/>
          <w:szCs w:val="24"/>
        </w:rPr>
        <w:t xml:space="preserve">higher mean TC than participants working more than 63 hours </w:t>
      </w:r>
      <w:commentRangeEnd w:id="16"/>
      <w:r w:rsidR="007573FF">
        <w:rPr>
          <w:rStyle w:val="CommentReference"/>
        </w:rPr>
        <w:commentReference w:id="16"/>
      </w:r>
      <w:r w:rsidR="004D11AB">
        <w:rPr>
          <w:rFonts w:ascii="Times New Roman" w:hAnsi="Times New Roman" w:cs="Times New Roman"/>
          <w:sz w:val="24"/>
          <w:szCs w:val="24"/>
        </w:rPr>
        <w:t>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commentRangeStart w:id="17"/>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w:t>
      </w:r>
      <w:commentRangeEnd w:id="17"/>
      <w:r w:rsidR="004D6851">
        <w:rPr>
          <w:rStyle w:val="CommentReference"/>
        </w:rPr>
        <w:commentReference w:id="17"/>
      </w:r>
      <w:r w:rsidR="009F5C02">
        <w:rPr>
          <w:rFonts w:ascii="Times New Roman" w:hAnsi="Times New Roman" w:cs="Times New Roman"/>
          <w:sz w:val="24"/>
          <w:szCs w:val="24"/>
        </w:rPr>
        <w:t xml:space="preserve">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t>Theoretical framework</w:t>
      </w:r>
      <w:bookmarkEnd w:id="18"/>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lastRenderedPageBreak/>
        <w:t>Summary</w:t>
      </w:r>
      <w:bookmarkEnd w:id="19"/>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w:t>
      </w:r>
      <w:proofErr w:type="gramStart"/>
      <w:r w:rsidR="00D44A0B">
        <w:rPr>
          <w:rFonts w:ascii="Times New Roman" w:hAnsi="Times New Roman" w:cs="Times New Roman"/>
          <w:sz w:val="24"/>
          <w:szCs w:val="24"/>
        </w:rPr>
        <w:t>as a result of</w:t>
      </w:r>
      <w:proofErr w:type="gramEnd"/>
      <w:r w:rsidR="00D44A0B">
        <w:rPr>
          <w:rFonts w:ascii="Times New Roman" w:hAnsi="Times New Roman" w:cs="Times New Roman"/>
          <w:sz w:val="24"/>
          <w:szCs w:val="24"/>
        </w:rPr>
        <w:t xml:space="preserve">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240CF451"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lastRenderedPageBreak/>
        <w:t>Study population</w:t>
      </w:r>
      <w:bookmarkEnd w:id="24"/>
    </w:p>
    <w:p w14:paraId="2F016880" w14:textId="44A9DEC3"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 xml:space="preserve">Any participants who refused to answer or were unable to remember their prior week’s total work hours were not included. </w:t>
      </w:r>
      <w:proofErr w:type="gramStart"/>
      <w:r w:rsidR="00267ECE">
        <w:rPr>
          <w:rFonts w:ascii="Times New Roman" w:hAnsi="Times New Roman" w:cs="Times New Roman"/>
          <w:sz w:val="24"/>
          <w:szCs w:val="24"/>
        </w:rPr>
        <w:t>Also</w:t>
      </w:r>
      <w:proofErr w:type="gramEnd"/>
      <w:r w:rsidR="00267ECE">
        <w:rPr>
          <w:rFonts w:ascii="Times New Roman" w:hAnsi="Times New Roman" w:cs="Times New Roman"/>
          <w:sz w:val="24"/>
          <w:szCs w:val="24"/>
        </w:rPr>
        <w:t xml:space="preserve">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lastRenderedPageBreak/>
        <w:t>Efforts to address bias</w:t>
      </w:r>
      <w:bookmarkEnd w:id="28"/>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lastRenderedPageBreak/>
        <w:t>Study Population</w:t>
      </w:r>
      <w:bookmarkEnd w:id="33"/>
    </w:p>
    <w:p w14:paraId="2B00D7AA" w14:textId="0C130C62"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w:t>
      </w:r>
      <w:r w:rsidR="00746253">
        <w:rPr>
          <w:rFonts w:ascii="Times New Roman" w:hAnsi="Times New Roman" w:cs="Times New Roman"/>
          <w:sz w:val="24"/>
          <w:szCs w:val="24"/>
        </w:rPr>
        <w:t>U.S</w:t>
      </w:r>
      <w:r w:rsidR="009E36CC" w:rsidRPr="00EE5197">
        <w:rPr>
          <w:rFonts w:ascii="Times New Roman" w:hAnsi="Times New Roman" w:cs="Times New Roman"/>
          <w:sz w:val="24"/>
          <w:szCs w:val="24"/>
        </w:rPr>
        <w:t>.</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t>Total Blood Cholesterol</w:t>
      </w:r>
      <w:bookmarkEnd w:id="35"/>
    </w:p>
    <w:p w14:paraId="0C5E92D1" w14:textId="2BE795C2"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24865F4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08299D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r w:rsidRPr="00EE5197">
              <w:rPr>
                <w:rFonts w:ascii="Times New Roman" w:hAnsi="Times New Roman" w:cs="Times New Roman"/>
                <w:sz w:val="24"/>
                <w:szCs w:val="24"/>
              </w:rPr>
              <w:t xml:space="preserve">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5E763A98" w:rsidR="007E4327" w:rsidRPr="00EE5197" w:rsidRDefault="00AA446D" w:rsidP="000C580C">
            <w:pPr>
              <w:jc w:val="center"/>
              <w:rPr>
                <w:rFonts w:ascii="Times New Roman" w:hAnsi="Times New Roman" w:cs="Times New Roman"/>
                <w:b/>
                <w:bCs/>
                <w:sz w:val="24"/>
                <w:szCs w:val="24"/>
              </w:rPr>
            </w:pPr>
            <w:r>
              <w:rPr>
                <w:rFonts w:ascii="Times New Roman" w:hAnsi="Times New Roman" w:cs="Times New Roman"/>
                <w:b/>
                <w:bCs/>
                <w:sz w:val="24"/>
                <w:szCs w:val="24"/>
              </w:rPr>
              <w:t>Beta</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4149742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r w:rsidR="0025279E">
              <w:rPr>
                <w:rFonts w:ascii="Times New Roman" w:hAnsi="Times New Roman" w:cs="Times New Roman"/>
                <w:sz w:val="24"/>
                <w:szCs w:val="24"/>
              </w:rPr>
              <w:t xml:space="preserve"> (years)</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3D2CE39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r w:rsidR="0025279E">
              <w:rPr>
                <w:rFonts w:ascii="Times New Roman" w:hAnsi="Times New Roman" w:cs="Times New Roman"/>
                <w:sz w:val="24"/>
                <w:szCs w:val="24"/>
              </w:rPr>
              <w:t xml:space="preserve"> (kg/m</w:t>
            </w:r>
            <w:r w:rsidR="0025279E">
              <w:rPr>
                <w:rFonts w:ascii="Times New Roman" w:hAnsi="Times New Roman" w:cs="Times New Roman"/>
                <w:sz w:val="24"/>
                <w:szCs w:val="24"/>
                <w:vertAlign w:val="superscript"/>
              </w:rPr>
              <w:t>2</w:t>
            </w:r>
            <w:r w:rsidR="0025279E">
              <w:rPr>
                <w:rFonts w:ascii="Times New Roman" w:hAnsi="Times New Roman" w:cs="Times New Roman"/>
                <w:sz w:val="24"/>
                <w:szCs w:val="24"/>
              </w:rPr>
              <w:t>)</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commentRangeStart w:id="50"/>
      <w:r w:rsidRPr="00EE5197">
        <w:rPr>
          <w:rFonts w:ascii="Times New Roman" w:hAnsi="Times New Roman" w:cs="Times New Roman"/>
          <w:b/>
          <w:bCs/>
          <w:color w:val="auto"/>
          <w:sz w:val="24"/>
          <w:szCs w:val="24"/>
        </w:rPr>
        <w:t xml:space="preserve">Comparison </w:t>
      </w:r>
      <w:commentRangeEnd w:id="50"/>
      <w:r w:rsidR="00BE1683">
        <w:rPr>
          <w:rStyle w:val="CommentReference"/>
          <w:rFonts w:asciiTheme="minorHAnsi" w:eastAsiaTheme="minorHAnsi" w:hAnsiTheme="minorHAnsi" w:cstheme="minorBidi"/>
          <w:color w:val="auto"/>
        </w:rPr>
        <w:commentReference w:id="50"/>
      </w:r>
      <w:r w:rsidRPr="00EE5197">
        <w:rPr>
          <w:rFonts w:ascii="Times New Roman" w:hAnsi="Times New Roman" w:cs="Times New Roman"/>
          <w:b/>
          <w:bCs/>
          <w:color w:val="auto"/>
          <w:sz w:val="24"/>
          <w:szCs w:val="24"/>
        </w:rPr>
        <w:t>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5"/>
      <w:r w:rsidRPr="00EE5197">
        <w:rPr>
          <w:rFonts w:ascii="Times New Roman" w:hAnsi="Times New Roman" w:cs="Times New Roman"/>
          <w:b/>
          <w:bCs/>
          <w:color w:val="auto"/>
          <w:sz w:val="24"/>
          <w:szCs w:val="24"/>
        </w:rPr>
        <w:t>Strengths, limitations, and bias</w:t>
      </w:r>
      <w:bookmarkEnd w:id="5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2" w:name="_Toc98088166"/>
      <w:r w:rsidRPr="00EE5197">
        <w:rPr>
          <w:rFonts w:ascii="Times New Roman" w:hAnsi="Times New Roman" w:cs="Times New Roman"/>
          <w:b/>
          <w:bCs/>
          <w:color w:val="auto"/>
          <w:sz w:val="24"/>
          <w:szCs w:val="24"/>
        </w:rPr>
        <w:t>Findings Implications</w:t>
      </w:r>
      <w:bookmarkEnd w:id="52"/>
    </w:p>
    <w:p w14:paraId="4CB978AF" w14:textId="79D2AB9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3" w:name="_Toc98088167"/>
      <w:commentRangeStart w:id="54"/>
      <w:r w:rsidRPr="00EE5197">
        <w:rPr>
          <w:rFonts w:ascii="Times New Roman" w:hAnsi="Times New Roman" w:cs="Times New Roman"/>
          <w:b/>
          <w:bCs/>
          <w:color w:val="auto"/>
          <w:sz w:val="24"/>
          <w:szCs w:val="24"/>
        </w:rPr>
        <w:t>CONCLUSION</w:t>
      </w:r>
      <w:bookmarkEnd w:id="53"/>
      <w:commentRangeEnd w:id="54"/>
      <w:r w:rsidR="006E02C6">
        <w:rPr>
          <w:rStyle w:val="CommentReference"/>
          <w:rFonts w:asciiTheme="minorHAnsi" w:eastAsiaTheme="minorHAnsi" w:hAnsiTheme="minorHAnsi" w:cstheme="minorBidi"/>
          <w:color w:val="auto"/>
        </w:rPr>
        <w:commentReference w:id="54"/>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4-09T11:54:00Z" w:initials="CH">
    <w:p w14:paraId="59FDA857" w14:textId="12682BCF" w:rsidR="007573FF" w:rsidRDefault="007573FF">
      <w:pPr>
        <w:pStyle w:val="CommentText"/>
      </w:pPr>
      <w:r>
        <w:rPr>
          <w:rStyle w:val="CommentReference"/>
        </w:rPr>
        <w:annotationRef/>
      </w:r>
      <w:r>
        <w:t>Healthy worker effect</w:t>
      </w:r>
    </w:p>
  </w:comment>
  <w:comment w:id="17" w:author="Christian Hicks" w:date="2022-04-09T11:37:00Z" w:initials="CH">
    <w:p w14:paraId="37F423F2" w14:textId="31BB54A6" w:rsidR="004D6851" w:rsidRDefault="004D6851">
      <w:pPr>
        <w:pStyle w:val="CommentText"/>
      </w:pPr>
      <w:r>
        <w:rPr>
          <w:rStyle w:val="CommentReference"/>
        </w:rPr>
        <w:annotationRef/>
      </w:r>
      <w:r w:rsidR="00C87081">
        <w:t>Fewer than full time had worse outcome</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0"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0" w:author="Christian Hicks" w:date="2022-04-04T19:34:00Z" w:initials="CH">
    <w:p w14:paraId="3C9290E9" w14:textId="764A503F" w:rsidR="00BE1683" w:rsidRDefault="00BE1683">
      <w:pPr>
        <w:pStyle w:val="CommentText"/>
      </w:pPr>
      <w:r>
        <w:rPr>
          <w:rStyle w:val="CommentReference"/>
        </w:rPr>
        <w:annotationRef/>
      </w:r>
      <w:r>
        <w:t xml:space="preserve">Lee et al. also had a potential </w:t>
      </w:r>
      <w:proofErr w:type="spellStart"/>
      <w:r>
        <w:t>healthy</w:t>
      </w:r>
      <w:proofErr w:type="spellEnd"/>
      <w:r>
        <w:t xml:space="preserve"> worker effect</w:t>
      </w:r>
      <w:r w:rsidR="00663CC8">
        <w:t xml:space="preserve"> (Ctrl-F for “poorer health status”)</w:t>
      </w:r>
    </w:p>
  </w:comment>
  <w:comment w:id="54"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59FDA857" w15:done="0"/>
  <w15:commentEx w15:paraId="37F423F2"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3C9290E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FBF290" w16cex:dateUtc="2022-04-09T18:54:00Z"/>
  <w16cex:commentExtensible w16cex:durableId="25FBEE96" w16cex:dateUtc="2022-04-09T18:37: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F5C6CE" w16cex:dateUtc="2022-04-05T02:3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59FDA857" w16cid:durableId="25FBF290"/>
  <w16cid:commentId w16cid:paraId="37F423F2" w16cid:durableId="25FBEE96"/>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3C9290E9" w16cid:durableId="25F5C6CE"/>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6757" w14:textId="77777777" w:rsidR="003610E5" w:rsidRDefault="003610E5" w:rsidP="00222B46">
      <w:pPr>
        <w:spacing w:after="0" w:line="240" w:lineRule="auto"/>
      </w:pPr>
      <w:r>
        <w:separator/>
      </w:r>
    </w:p>
  </w:endnote>
  <w:endnote w:type="continuationSeparator" w:id="0">
    <w:p w14:paraId="7838DAC2" w14:textId="77777777" w:rsidR="003610E5" w:rsidRDefault="003610E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EC7C" w14:textId="77777777" w:rsidR="003610E5" w:rsidRDefault="003610E5" w:rsidP="00222B46">
      <w:pPr>
        <w:spacing w:after="0" w:line="240" w:lineRule="auto"/>
      </w:pPr>
      <w:r>
        <w:separator/>
      </w:r>
    </w:p>
  </w:footnote>
  <w:footnote w:type="continuationSeparator" w:id="0">
    <w:p w14:paraId="064699B1" w14:textId="77777777" w:rsidR="003610E5" w:rsidRDefault="003610E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4AA3"/>
    <w:rsid w:val="00026B89"/>
    <w:rsid w:val="0003076B"/>
    <w:rsid w:val="00030FA8"/>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9032B"/>
    <w:rsid w:val="0009297F"/>
    <w:rsid w:val="000938E7"/>
    <w:rsid w:val="000975BF"/>
    <w:rsid w:val="000A0C6B"/>
    <w:rsid w:val="000A178D"/>
    <w:rsid w:val="000A2028"/>
    <w:rsid w:val="000A2239"/>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1038A"/>
    <w:rsid w:val="00112EE1"/>
    <w:rsid w:val="0011698F"/>
    <w:rsid w:val="001170B9"/>
    <w:rsid w:val="0012012C"/>
    <w:rsid w:val="001206B1"/>
    <w:rsid w:val="00121928"/>
    <w:rsid w:val="00121F2E"/>
    <w:rsid w:val="00122509"/>
    <w:rsid w:val="0012272A"/>
    <w:rsid w:val="00122D88"/>
    <w:rsid w:val="00122D8D"/>
    <w:rsid w:val="00123452"/>
    <w:rsid w:val="00123FEE"/>
    <w:rsid w:val="00130C0F"/>
    <w:rsid w:val="00133054"/>
    <w:rsid w:val="00134E6B"/>
    <w:rsid w:val="00147A72"/>
    <w:rsid w:val="001512BB"/>
    <w:rsid w:val="00156A85"/>
    <w:rsid w:val="001571CC"/>
    <w:rsid w:val="001633FF"/>
    <w:rsid w:val="001652FC"/>
    <w:rsid w:val="00165791"/>
    <w:rsid w:val="00167C17"/>
    <w:rsid w:val="0017095B"/>
    <w:rsid w:val="00171A46"/>
    <w:rsid w:val="0017254C"/>
    <w:rsid w:val="00173272"/>
    <w:rsid w:val="00174CBB"/>
    <w:rsid w:val="001751D5"/>
    <w:rsid w:val="00175C27"/>
    <w:rsid w:val="00176DCB"/>
    <w:rsid w:val="00177DCF"/>
    <w:rsid w:val="0018015C"/>
    <w:rsid w:val="00180299"/>
    <w:rsid w:val="0018109F"/>
    <w:rsid w:val="00181307"/>
    <w:rsid w:val="00186C7A"/>
    <w:rsid w:val="00187B24"/>
    <w:rsid w:val="001903E9"/>
    <w:rsid w:val="00190B28"/>
    <w:rsid w:val="001921AE"/>
    <w:rsid w:val="00192574"/>
    <w:rsid w:val="00192D75"/>
    <w:rsid w:val="001968D5"/>
    <w:rsid w:val="001979AA"/>
    <w:rsid w:val="001A0244"/>
    <w:rsid w:val="001A4EFD"/>
    <w:rsid w:val="001A546A"/>
    <w:rsid w:val="001A7BE0"/>
    <w:rsid w:val="001B00BB"/>
    <w:rsid w:val="001B4E98"/>
    <w:rsid w:val="001B5545"/>
    <w:rsid w:val="001B57E9"/>
    <w:rsid w:val="001C0581"/>
    <w:rsid w:val="001C12D6"/>
    <w:rsid w:val="001C1B1B"/>
    <w:rsid w:val="001C647A"/>
    <w:rsid w:val="001D082D"/>
    <w:rsid w:val="001D0CB4"/>
    <w:rsid w:val="001D29B8"/>
    <w:rsid w:val="001D586D"/>
    <w:rsid w:val="001D6120"/>
    <w:rsid w:val="001D7C71"/>
    <w:rsid w:val="001E2205"/>
    <w:rsid w:val="001E4666"/>
    <w:rsid w:val="001E6971"/>
    <w:rsid w:val="001E71CD"/>
    <w:rsid w:val="001F05B9"/>
    <w:rsid w:val="001F14D9"/>
    <w:rsid w:val="001F1596"/>
    <w:rsid w:val="001F630C"/>
    <w:rsid w:val="002014C6"/>
    <w:rsid w:val="00203023"/>
    <w:rsid w:val="00206D42"/>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850"/>
    <w:rsid w:val="00234B44"/>
    <w:rsid w:val="00234B98"/>
    <w:rsid w:val="00235D43"/>
    <w:rsid w:val="002364A2"/>
    <w:rsid w:val="00236558"/>
    <w:rsid w:val="0023748D"/>
    <w:rsid w:val="00237691"/>
    <w:rsid w:val="00241242"/>
    <w:rsid w:val="00243ECB"/>
    <w:rsid w:val="00245187"/>
    <w:rsid w:val="0024642E"/>
    <w:rsid w:val="002470C9"/>
    <w:rsid w:val="0025279E"/>
    <w:rsid w:val="00252AE7"/>
    <w:rsid w:val="002540E5"/>
    <w:rsid w:val="00255A2F"/>
    <w:rsid w:val="00261444"/>
    <w:rsid w:val="002615BF"/>
    <w:rsid w:val="00262F6A"/>
    <w:rsid w:val="00263155"/>
    <w:rsid w:val="0026539F"/>
    <w:rsid w:val="0026566B"/>
    <w:rsid w:val="00266024"/>
    <w:rsid w:val="00266EEE"/>
    <w:rsid w:val="00267ECE"/>
    <w:rsid w:val="0027093B"/>
    <w:rsid w:val="00271171"/>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5307"/>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2C81"/>
    <w:rsid w:val="00303AB6"/>
    <w:rsid w:val="0030687A"/>
    <w:rsid w:val="0031110D"/>
    <w:rsid w:val="003116EC"/>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10E5"/>
    <w:rsid w:val="00362052"/>
    <w:rsid w:val="00362C2A"/>
    <w:rsid w:val="00362EA2"/>
    <w:rsid w:val="00366C48"/>
    <w:rsid w:val="00367D32"/>
    <w:rsid w:val="0037112F"/>
    <w:rsid w:val="003719BE"/>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04E6"/>
    <w:rsid w:val="003A21F4"/>
    <w:rsid w:val="003A2493"/>
    <w:rsid w:val="003A2D57"/>
    <w:rsid w:val="003A2DA3"/>
    <w:rsid w:val="003A68AC"/>
    <w:rsid w:val="003B09DA"/>
    <w:rsid w:val="003B35D7"/>
    <w:rsid w:val="003B3920"/>
    <w:rsid w:val="003B57AB"/>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66CC"/>
    <w:rsid w:val="003F214E"/>
    <w:rsid w:val="004004AC"/>
    <w:rsid w:val="00403870"/>
    <w:rsid w:val="00405C63"/>
    <w:rsid w:val="0040608C"/>
    <w:rsid w:val="00410F7A"/>
    <w:rsid w:val="0041398D"/>
    <w:rsid w:val="0041544C"/>
    <w:rsid w:val="004162D1"/>
    <w:rsid w:val="0042327D"/>
    <w:rsid w:val="004257DA"/>
    <w:rsid w:val="00427F8F"/>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086"/>
    <w:rsid w:val="004757DD"/>
    <w:rsid w:val="00476F1E"/>
    <w:rsid w:val="00477CCE"/>
    <w:rsid w:val="00483577"/>
    <w:rsid w:val="00483771"/>
    <w:rsid w:val="00487A47"/>
    <w:rsid w:val="00490A89"/>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3E67"/>
    <w:rsid w:val="004B500C"/>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FF0"/>
    <w:rsid w:val="00537229"/>
    <w:rsid w:val="00540440"/>
    <w:rsid w:val="00545097"/>
    <w:rsid w:val="00546060"/>
    <w:rsid w:val="00546E16"/>
    <w:rsid w:val="005472E6"/>
    <w:rsid w:val="00547AED"/>
    <w:rsid w:val="00551FE7"/>
    <w:rsid w:val="00553C92"/>
    <w:rsid w:val="00561C1D"/>
    <w:rsid w:val="00564748"/>
    <w:rsid w:val="00564D83"/>
    <w:rsid w:val="00565660"/>
    <w:rsid w:val="00565ED1"/>
    <w:rsid w:val="00566F5C"/>
    <w:rsid w:val="005675D4"/>
    <w:rsid w:val="005714DA"/>
    <w:rsid w:val="00574C17"/>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7C5"/>
    <w:rsid w:val="005A5B0F"/>
    <w:rsid w:val="005A5FBD"/>
    <w:rsid w:val="005B0631"/>
    <w:rsid w:val="005B1FAB"/>
    <w:rsid w:val="005B3A34"/>
    <w:rsid w:val="005B47D8"/>
    <w:rsid w:val="005B621F"/>
    <w:rsid w:val="005B652F"/>
    <w:rsid w:val="005B6ECD"/>
    <w:rsid w:val="005C092A"/>
    <w:rsid w:val="005C2367"/>
    <w:rsid w:val="005C288A"/>
    <w:rsid w:val="005C4966"/>
    <w:rsid w:val="005C4A31"/>
    <w:rsid w:val="005D46C7"/>
    <w:rsid w:val="005D5F17"/>
    <w:rsid w:val="005D6BE0"/>
    <w:rsid w:val="005E482B"/>
    <w:rsid w:val="005E4939"/>
    <w:rsid w:val="005E57FD"/>
    <w:rsid w:val="005E6167"/>
    <w:rsid w:val="005E6899"/>
    <w:rsid w:val="005E74A4"/>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1B43"/>
    <w:rsid w:val="006439B1"/>
    <w:rsid w:val="0064636C"/>
    <w:rsid w:val="0064735A"/>
    <w:rsid w:val="00656960"/>
    <w:rsid w:val="0066014F"/>
    <w:rsid w:val="0066135C"/>
    <w:rsid w:val="006623CD"/>
    <w:rsid w:val="00663CC8"/>
    <w:rsid w:val="00664400"/>
    <w:rsid w:val="00664936"/>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E6DC9"/>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238E4"/>
    <w:rsid w:val="00723F11"/>
    <w:rsid w:val="007312D8"/>
    <w:rsid w:val="007316FF"/>
    <w:rsid w:val="00731CFE"/>
    <w:rsid w:val="00733708"/>
    <w:rsid w:val="0073405F"/>
    <w:rsid w:val="00734314"/>
    <w:rsid w:val="00740191"/>
    <w:rsid w:val="007417FD"/>
    <w:rsid w:val="007420E7"/>
    <w:rsid w:val="007427E7"/>
    <w:rsid w:val="007438F3"/>
    <w:rsid w:val="00743F4C"/>
    <w:rsid w:val="00746253"/>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79EC"/>
    <w:rsid w:val="00794A16"/>
    <w:rsid w:val="00794F31"/>
    <w:rsid w:val="0079519F"/>
    <w:rsid w:val="007A18C4"/>
    <w:rsid w:val="007A46D4"/>
    <w:rsid w:val="007A4E80"/>
    <w:rsid w:val="007A595A"/>
    <w:rsid w:val="007A6371"/>
    <w:rsid w:val="007A7BD1"/>
    <w:rsid w:val="007A7C85"/>
    <w:rsid w:val="007B0C2F"/>
    <w:rsid w:val="007B6E2E"/>
    <w:rsid w:val="007C0519"/>
    <w:rsid w:val="007C0E83"/>
    <w:rsid w:val="007C0F4E"/>
    <w:rsid w:val="007C264F"/>
    <w:rsid w:val="007C3B43"/>
    <w:rsid w:val="007C753A"/>
    <w:rsid w:val="007D1352"/>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1A3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2540"/>
    <w:rsid w:val="00846533"/>
    <w:rsid w:val="0084711D"/>
    <w:rsid w:val="00850D63"/>
    <w:rsid w:val="00852BA8"/>
    <w:rsid w:val="00852CC5"/>
    <w:rsid w:val="00853001"/>
    <w:rsid w:val="008547B8"/>
    <w:rsid w:val="00856AF9"/>
    <w:rsid w:val="00857ED2"/>
    <w:rsid w:val="00861232"/>
    <w:rsid w:val="00862A03"/>
    <w:rsid w:val="00862D4F"/>
    <w:rsid w:val="00863360"/>
    <w:rsid w:val="00864267"/>
    <w:rsid w:val="00870A4F"/>
    <w:rsid w:val="00870C80"/>
    <w:rsid w:val="00871087"/>
    <w:rsid w:val="00876237"/>
    <w:rsid w:val="00876E33"/>
    <w:rsid w:val="00880613"/>
    <w:rsid w:val="00880AD5"/>
    <w:rsid w:val="008813D4"/>
    <w:rsid w:val="008823ED"/>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47D"/>
    <w:rsid w:val="008D3F11"/>
    <w:rsid w:val="008E04E5"/>
    <w:rsid w:val="008E2332"/>
    <w:rsid w:val="008E473E"/>
    <w:rsid w:val="008E536E"/>
    <w:rsid w:val="008E64DF"/>
    <w:rsid w:val="008F1A82"/>
    <w:rsid w:val="008F2325"/>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8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A6700"/>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9F5C02"/>
    <w:rsid w:val="00A0177D"/>
    <w:rsid w:val="00A03BEF"/>
    <w:rsid w:val="00A05E91"/>
    <w:rsid w:val="00A12C85"/>
    <w:rsid w:val="00A153E1"/>
    <w:rsid w:val="00A15ED0"/>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2958"/>
    <w:rsid w:val="00A64E63"/>
    <w:rsid w:val="00A6550B"/>
    <w:rsid w:val="00A667FF"/>
    <w:rsid w:val="00A71CAF"/>
    <w:rsid w:val="00A72A70"/>
    <w:rsid w:val="00A75706"/>
    <w:rsid w:val="00A75753"/>
    <w:rsid w:val="00A76B9D"/>
    <w:rsid w:val="00A814D9"/>
    <w:rsid w:val="00A878A3"/>
    <w:rsid w:val="00A901F8"/>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A4E"/>
    <w:rsid w:val="00AC4EC5"/>
    <w:rsid w:val="00AC6DD5"/>
    <w:rsid w:val="00AD1BF2"/>
    <w:rsid w:val="00AD6FE8"/>
    <w:rsid w:val="00AE0092"/>
    <w:rsid w:val="00AE17AD"/>
    <w:rsid w:val="00AE2DA1"/>
    <w:rsid w:val="00AE3201"/>
    <w:rsid w:val="00AE4EF7"/>
    <w:rsid w:val="00AE5947"/>
    <w:rsid w:val="00AF21D2"/>
    <w:rsid w:val="00AF65C9"/>
    <w:rsid w:val="00B022DA"/>
    <w:rsid w:val="00B04F5B"/>
    <w:rsid w:val="00B056CA"/>
    <w:rsid w:val="00B10009"/>
    <w:rsid w:val="00B10D93"/>
    <w:rsid w:val="00B11C04"/>
    <w:rsid w:val="00B120BA"/>
    <w:rsid w:val="00B13A2D"/>
    <w:rsid w:val="00B14230"/>
    <w:rsid w:val="00B200FE"/>
    <w:rsid w:val="00B201FB"/>
    <w:rsid w:val="00B20898"/>
    <w:rsid w:val="00B21CD2"/>
    <w:rsid w:val="00B22A39"/>
    <w:rsid w:val="00B22AF0"/>
    <w:rsid w:val="00B22B1B"/>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3B75"/>
    <w:rsid w:val="00C13E94"/>
    <w:rsid w:val="00C14F3C"/>
    <w:rsid w:val="00C17F8A"/>
    <w:rsid w:val="00C267D2"/>
    <w:rsid w:val="00C27F7F"/>
    <w:rsid w:val="00C304C8"/>
    <w:rsid w:val="00C31A33"/>
    <w:rsid w:val="00C3247E"/>
    <w:rsid w:val="00C32A03"/>
    <w:rsid w:val="00C344B1"/>
    <w:rsid w:val="00C3612E"/>
    <w:rsid w:val="00C41474"/>
    <w:rsid w:val="00C4208E"/>
    <w:rsid w:val="00C447D6"/>
    <w:rsid w:val="00C457A6"/>
    <w:rsid w:val="00C470F7"/>
    <w:rsid w:val="00C526A3"/>
    <w:rsid w:val="00C537FE"/>
    <w:rsid w:val="00C56B3C"/>
    <w:rsid w:val="00C60943"/>
    <w:rsid w:val="00C60A90"/>
    <w:rsid w:val="00C623A4"/>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5E4C"/>
    <w:rsid w:val="00C87081"/>
    <w:rsid w:val="00C9079E"/>
    <w:rsid w:val="00C935B0"/>
    <w:rsid w:val="00C975A6"/>
    <w:rsid w:val="00CA03D9"/>
    <w:rsid w:val="00CA0537"/>
    <w:rsid w:val="00CA1897"/>
    <w:rsid w:val="00CA41D9"/>
    <w:rsid w:val="00CA472E"/>
    <w:rsid w:val="00CA4B5C"/>
    <w:rsid w:val="00CA6D17"/>
    <w:rsid w:val="00CA76F2"/>
    <w:rsid w:val="00CB15D1"/>
    <w:rsid w:val="00CB1890"/>
    <w:rsid w:val="00CB365B"/>
    <w:rsid w:val="00CB4B0C"/>
    <w:rsid w:val="00CB5D22"/>
    <w:rsid w:val="00CB7945"/>
    <w:rsid w:val="00CC18AE"/>
    <w:rsid w:val="00CC1D3D"/>
    <w:rsid w:val="00CC2AE4"/>
    <w:rsid w:val="00CC300E"/>
    <w:rsid w:val="00CC6D1E"/>
    <w:rsid w:val="00CC7956"/>
    <w:rsid w:val="00CD017F"/>
    <w:rsid w:val="00CD3F4D"/>
    <w:rsid w:val="00CD660C"/>
    <w:rsid w:val="00CE03DA"/>
    <w:rsid w:val="00CE05A9"/>
    <w:rsid w:val="00CE0CEA"/>
    <w:rsid w:val="00CE1772"/>
    <w:rsid w:val="00CE20B0"/>
    <w:rsid w:val="00CE5973"/>
    <w:rsid w:val="00CF1126"/>
    <w:rsid w:val="00CF441F"/>
    <w:rsid w:val="00CF59C2"/>
    <w:rsid w:val="00CF7445"/>
    <w:rsid w:val="00D04BD9"/>
    <w:rsid w:val="00D059FD"/>
    <w:rsid w:val="00D06C68"/>
    <w:rsid w:val="00D06CFE"/>
    <w:rsid w:val="00D075F9"/>
    <w:rsid w:val="00D1049A"/>
    <w:rsid w:val="00D15E5F"/>
    <w:rsid w:val="00D1660C"/>
    <w:rsid w:val="00D168A9"/>
    <w:rsid w:val="00D16B40"/>
    <w:rsid w:val="00D20C55"/>
    <w:rsid w:val="00D21041"/>
    <w:rsid w:val="00D22277"/>
    <w:rsid w:val="00D2368B"/>
    <w:rsid w:val="00D303FE"/>
    <w:rsid w:val="00D4005B"/>
    <w:rsid w:val="00D41434"/>
    <w:rsid w:val="00D418BF"/>
    <w:rsid w:val="00D44A0B"/>
    <w:rsid w:val="00D464C6"/>
    <w:rsid w:val="00D51860"/>
    <w:rsid w:val="00D52733"/>
    <w:rsid w:val="00D53F66"/>
    <w:rsid w:val="00D54A79"/>
    <w:rsid w:val="00D6132C"/>
    <w:rsid w:val="00D64A5B"/>
    <w:rsid w:val="00D65048"/>
    <w:rsid w:val="00D66988"/>
    <w:rsid w:val="00D6768B"/>
    <w:rsid w:val="00D738CE"/>
    <w:rsid w:val="00D73DB9"/>
    <w:rsid w:val="00D7664A"/>
    <w:rsid w:val="00D84847"/>
    <w:rsid w:val="00D854DE"/>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14D9"/>
    <w:rsid w:val="00DD2BB7"/>
    <w:rsid w:val="00DD5272"/>
    <w:rsid w:val="00DD6B8C"/>
    <w:rsid w:val="00DE2DC7"/>
    <w:rsid w:val="00DE38DF"/>
    <w:rsid w:val="00DE4FA2"/>
    <w:rsid w:val="00DE6412"/>
    <w:rsid w:val="00DF559C"/>
    <w:rsid w:val="00E014EB"/>
    <w:rsid w:val="00E0761E"/>
    <w:rsid w:val="00E077E6"/>
    <w:rsid w:val="00E141EA"/>
    <w:rsid w:val="00E16A68"/>
    <w:rsid w:val="00E202EE"/>
    <w:rsid w:val="00E22A52"/>
    <w:rsid w:val="00E24D55"/>
    <w:rsid w:val="00E25E03"/>
    <w:rsid w:val="00E26A7C"/>
    <w:rsid w:val="00E30648"/>
    <w:rsid w:val="00E363E5"/>
    <w:rsid w:val="00E367A1"/>
    <w:rsid w:val="00E37120"/>
    <w:rsid w:val="00E37BE3"/>
    <w:rsid w:val="00E424E0"/>
    <w:rsid w:val="00E45D63"/>
    <w:rsid w:val="00E46EDC"/>
    <w:rsid w:val="00E53964"/>
    <w:rsid w:val="00E53A00"/>
    <w:rsid w:val="00E53A55"/>
    <w:rsid w:val="00E53EF5"/>
    <w:rsid w:val="00E53FAE"/>
    <w:rsid w:val="00E544CB"/>
    <w:rsid w:val="00E551F3"/>
    <w:rsid w:val="00E57463"/>
    <w:rsid w:val="00E6363F"/>
    <w:rsid w:val="00E64E30"/>
    <w:rsid w:val="00E65C6A"/>
    <w:rsid w:val="00E66C25"/>
    <w:rsid w:val="00E679BF"/>
    <w:rsid w:val="00E701B3"/>
    <w:rsid w:val="00E70B7D"/>
    <w:rsid w:val="00E71B3A"/>
    <w:rsid w:val="00E726B8"/>
    <w:rsid w:val="00E72937"/>
    <w:rsid w:val="00E73569"/>
    <w:rsid w:val="00E74028"/>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1213"/>
    <w:rsid w:val="00EC370B"/>
    <w:rsid w:val="00EC39B5"/>
    <w:rsid w:val="00EC3CC8"/>
    <w:rsid w:val="00EC5D38"/>
    <w:rsid w:val="00EC77CE"/>
    <w:rsid w:val="00ED2404"/>
    <w:rsid w:val="00ED2443"/>
    <w:rsid w:val="00ED3823"/>
    <w:rsid w:val="00EE2434"/>
    <w:rsid w:val="00EE423B"/>
    <w:rsid w:val="00EE5197"/>
    <w:rsid w:val="00EE7592"/>
    <w:rsid w:val="00EF13E7"/>
    <w:rsid w:val="00EF2E93"/>
    <w:rsid w:val="00EF4036"/>
    <w:rsid w:val="00EF4C61"/>
    <w:rsid w:val="00EF54D0"/>
    <w:rsid w:val="00F03630"/>
    <w:rsid w:val="00F14DDC"/>
    <w:rsid w:val="00F16A0C"/>
    <w:rsid w:val="00F16A4E"/>
    <w:rsid w:val="00F170C0"/>
    <w:rsid w:val="00F17909"/>
    <w:rsid w:val="00F2496D"/>
    <w:rsid w:val="00F279EF"/>
    <w:rsid w:val="00F30759"/>
    <w:rsid w:val="00F3116F"/>
    <w:rsid w:val="00F3152F"/>
    <w:rsid w:val="00F32BAE"/>
    <w:rsid w:val="00F3731A"/>
    <w:rsid w:val="00F375C6"/>
    <w:rsid w:val="00F43B8D"/>
    <w:rsid w:val="00F4548F"/>
    <w:rsid w:val="00F45554"/>
    <w:rsid w:val="00F45DEA"/>
    <w:rsid w:val="00F462A7"/>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336B"/>
    <w:rsid w:val="00FD4B90"/>
    <w:rsid w:val="00FD669D"/>
    <w:rsid w:val="00FE0272"/>
    <w:rsid w:val="00FE0F14"/>
    <w:rsid w:val="00FE3D8E"/>
    <w:rsid w:val="00FE4D2C"/>
    <w:rsid w:val="00FE530F"/>
    <w:rsid w:val="00FE6B7A"/>
    <w:rsid w:val="00FE767D"/>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4940</TotalTime>
  <Pages>30</Pages>
  <Words>6485</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845</cp:revision>
  <dcterms:created xsi:type="dcterms:W3CDTF">2021-10-25T20:38:00Z</dcterms:created>
  <dcterms:modified xsi:type="dcterms:W3CDTF">2022-04-10T01:25:00Z</dcterms:modified>
</cp:coreProperties>
</file>