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3020" w14:textId="4ABB5602" w:rsidR="009629A2" w:rsidRDefault="009629A2" w:rsidP="00AE5947">
      <w:pPr>
        <w:spacing w:line="480" w:lineRule="auto"/>
        <w:jc w:val="center"/>
        <w:rPr>
          <w:rFonts w:ascii="Arial" w:hAnsi="Arial" w:cs="Arial"/>
          <w:b/>
          <w:bCs/>
          <w:sz w:val="24"/>
          <w:szCs w:val="24"/>
        </w:rPr>
      </w:pPr>
      <w:r w:rsidRPr="00AE5947">
        <w:rPr>
          <w:rFonts w:ascii="Arial" w:hAnsi="Arial" w:cs="Arial"/>
          <w:b/>
          <w:bCs/>
          <w:sz w:val="24"/>
          <w:szCs w:val="24"/>
        </w:rPr>
        <w:t>INTRODUCTION</w:t>
      </w:r>
    </w:p>
    <w:p w14:paraId="5C423AEA" w14:textId="33EC0D88" w:rsidR="00457E06" w:rsidRPr="00AE5947" w:rsidRDefault="00457E06" w:rsidP="00AE5947">
      <w:pPr>
        <w:spacing w:line="480" w:lineRule="auto"/>
        <w:rPr>
          <w:rFonts w:ascii="Arial" w:hAnsi="Arial" w:cs="Arial"/>
          <w:b/>
          <w:bCs/>
          <w:sz w:val="24"/>
          <w:szCs w:val="24"/>
        </w:rPr>
      </w:pPr>
      <w:r w:rsidRPr="00AE5947">
        <w:rPr>
          <w:rFonts w:ascii="Arial" w:hAnsi="Arial" w:cs="Arial"/>
          <w:b/>
          <w:bCs/>
          <w:sz w:val="24"/>
          <w:szCs w:val="24"/>
        </w:rPr>
        <w:t>Epidemiology of the outcome</w:t>
      </w:r>
    </w:p>
    <w:p w14:paraId="4E30CB79" w14:textId="642D5102" w:rsidR="00F16A0C" w:rsidRPr="00AE5947" w:rsidRDefault="00971699" w:rsidP="00AE5947">
      <w:pPr>
        <w:spacing w:line="480" w:lineRule="auto"/>
        <w:ind w:firstLine="720"/>
        <w:rPr>
          <w:rFonts w:ascii="Arial" w:hAnsi="Arial" w:cs="Arial"/>
          <w:sz w:val="24"/>
          <w:szCs w:val="24"/>
        </w:rPr>
      </w:pPr>
      <w:r w:rsidRPr="00AE5947">
        <w:rPr>
          <w:rFonts w:ascii="Arial" w:hAnsi="Arial" w:cs="Arial"/>
          <w:sz w:val="24"/>
          <w:szCs w:val="24"/>
        </w:rPr>
        <w:t>The</w:t>
      </w:r>
      <w:r w:rsidR="00F961A7" w:rsidRPr="00AE5947">
        <w:rPr>
          <w:rFonts w:ascii="Arial" w:hAnsi="Arial" w:cs="Arial"/>
          <w:sz w:val="24"/>
          <w:szCs w:val="24"/>
        </w:rPr>
        <w:t xml:space="preserve"> NIH’s National Heart, Lung, and Blood Institute define</w:t>
      </w:r>
      <w:r w:rsidRPr="00AE5947">
        <w:rPr>
          <w:rFonts w:ascii="Arial" w:hAnsi="Arial" w:cs="Arial"/>
          <w:sz w:val="24"/>
          <w:szCs w:val="24"/>
        </w:rPr>
        <w:t>s</w:t>
      </w:r>
      <w:r w:rsidR="0097361E" w:rsidRPr="00AE5947">
        <w:rPr>
          <w:rFonts w:ascii="Arial" w:hAnsi="Arial" w:cs="Arial"/>
          <w:sz w:val="24"/>
          <w:szCs w:val="24"/>
        </w:rPr>
        <w:t xml:space="preserve"> high cholesterol</w:t>
      </w:r>
      <w:r w:rsidR="00F961A7" w:rsidRPr="00AE5947">
        <w:rPr>
          <w:rFonts w:ascii="Arial" w:hAnsi="Arial" w:cs="Arial"/>
          <w:sz w:val="24"/>
          <w:szCs w:val="24"/>
        </w:rPr>
        <w:t xml:space="preserve"> as having </w:t>
      </w:r>
      <w:r w:rsidR="001979AA" w:rsidRPr="00AE5947">
        <w:rPr>
          <w:rFonts w:ascii="Arial" w:hAnsi="Arial" w:cs="Arial"/>
          <w:sz w:val="24"/>
          <w:szCs w:val="24"/>
        </w:rPr>
        <w:t xml:space="preserve">total blood cholesterol </w:t>
      </w:r>
      <w:r w:rsidR="00951C8A" w:rsidRPr="00AE5947">
        <w:rPr>
          <w:rFonts w:ascii="Arial" w:hAnsi="Arial" w:cs="Arial"/>
          <w:sz w:val="24"/>
          <w:szCs w:val="24"/>
        </w:rPr>
        <w:t xml:space="preserve">(TC) </w:t>
      </w:r>
      <w:r w:rsidR="001979AA" w:rsidRPr="00AE5947">
        <w:rPr>
          <w:rFonts w:ascii="Arial" w:hAnsi="Arial" w:cs="Arial"/>
          <w:sz w:val="24"/>
          <w:szCs w:val="24"/>
        </w:rPr>
        <w:t>levels greater than or equal to 200 mg/dL</w:t>
      </w:r>
      <w:r w:rsidR="000F60C7" w:rsidRPr="00AE5947">
        <w:rPr>
          <w:rFonts w:ascii="Arial" w:hAnsi="Arial" w:cs="Arial"/>
          <w:sz w:val="24"/>
          <w:szCs w:val="24"/>
        </w:rPr>
        <w:t xml:space="preserve"> (</w:t>
      </w:r>
      <w:r w:rsidR="00C623A4" w:rsidRPr="00AE5947">
        <w:rPr>
          <w:rFonts w:ascii="Arial" w:hAnsi="Arial" w:cs="Arial"/>
          <w:sz w:val="24"/>
          <w:szCs w:val="24"/>
        </w:rPr>
        <w:t>National Institutes of Health</w:t>
      </w:r>
      <w:r w:rsidR="00900A2F">
        <w:rPr>
          <w:rFonts w:ascii="Arial" w:hAnsi="Arial" w:cs="Arial"/>
          <w:sz w:val="24"/>
          <w:szCs w:val="24"/>
        </w:rPr>
        <w:t>,</w:t>
      </w:r>
      <w:r w:rsidR="00C623A4" w:rsidRPr="00AE5947">
        <w:rPr>
          <w:rFonts w:ascii="Arial" w:hAnsi="Arial" w:cs="Arial"/>
          <w:sz w:val="24"/>
          <w:szCs w:val="24"/>
        </w:rPr>
        <w:t xml:space="preserve"> 2001</w:t>
      </w:r>
      <w:r w:rsidR="000F60C7" w:rsidRPr="00AE5947">
        <w:rPr>
          <w:rFonts w:ascii="Arial" w:hAnsi="Arial" w:cs="Arial"/>
          <w:sz w:val="24"/>
          <w:szCs w:val="24"/>
        </w:rPr>
        <w:t>).</w:t>
      </w:r>
      <w:r w:rsidR="007438F3" w:rsidRPr="00AE5947">
        <w:rPr>
          <w:rFonts w:ascii="Arial" w:hAnsi="Arial" w:cs="Arial"/>
          <w:sz w:val="24"/>
          <w:szCs w:val="24"/>
        </w:rPr>
        <w:t xml:space="preserve"> More than one third of the United States adult population has high cholesterol and therefore a</w:t>
      </w:r>
      <w:r w:rsidR="00C526A3" w:rsidRPr="00AE5947">
        <w:rPr>
          <w:rFonts w:ascii="Arial" w:hAnsi="Arial" w:cs="Arial"/>
          <w:sz w:val="24"/>
          <w:szCs w:val="24"/>
        </w:rPr>
        <w:t>re at a</w:t>
      </w:r>
      <w:r w:rsidR="007438F3" w:rsidRPr="00AE5947">
        <w:rPr>
          <w:rFonts w:ascii="Arial" w:hAnsi="Arial" w:cs="Arial"/>
          <w:sz w:val="24"/>
          <w:szCs w:val="24"/>
        </w:rPr>
        <w:t xml:space="preserve"> heightened risk </w:t>
      </w:r>
      <w:r w:rsidR="00C526A3" w:rsidRPr="00AE5947">
        <w:rPr>
          <w:rFonts w:ascii="Arial" w:hAnsi="Arial" w:cs="Arial"/>
          <w:sz w:val="24"/>
          <w:szCs w:val="24"/>
        </w:rPr>
        <w:t>for</w:t>
      </w:r>
      <w:r w:rsidR="007438F3" w:rsidRPr="00AE5947">
        <w:rPr>
          <w:rFonts w:ascii="Arial" w:hAnsi="Arial" w:cs="Arial"/>
          <w:sz w:val="24"/>
          <w:szCs w:val="24"/>
        </w:rPr>
        <w:t xml:space="preserve"> cardiovascular disease</w:t>
      </w:r>
      <w:r w:rsidR="00C60943" w:rsidRPr="00AE5947">
        <w:rPr>
          <w:rFonts w:ascii="Arial" w:hAnsi="Arial" w:cs="Arial"/>
          <w:sz w:val="24"/>
          <w:szCs w:val="24"/>
        </w:rPr>
        <w:t xml:space="preserve"> (CVD)</w:t>
      </w:r>
      <w:r w:rsidR="007438F3" w:rsidRPr="00AE5947">
        <w:rPr>
          <w:rFonts w:ascii="Arial" w:hAnsi="Arial" w:cs="Arial"/>
          <w:sz w:val="24"/>
          <w:szCs w:val="24"/>
        </w:rPr>
        <w:t xml:space="preserve"> </w:t>
      </w:r>
      <w:r w:rsidR="00BA11C5" w:rsidRPr="00AE5947">
        <w:rPr>
          <w:rFonts w:ascii="Arial" w:hAnsi="Arial" w:cs="Arial"/>
          <w:sz w:val="24"/>
          <w:szCs w:val="24"/>
        </w:rPr>
        <w:t>and</w:t>
      </w:r>
      <w:r w:rsidR="00A72A70" w:rsidRPr="00AE5947">
        <w:rPr>
          <w:rFonts w:ascii="Arial" w:hAnsi="Arial" w:cs="Arial"/>
          <w:sz w:val="24"/>
          <w:szCs w:val="24"/>
        </w:rPr>
        <w:t xml:space="preserve"> </w:t>
      </w:r>
      <w:r w:rsidR="007438F3" w:rsidRPr="00AE5947">
        <w:rPr>
          <w:rFonts w:ascii="Arial" w:hAnsi="Arial" w:cs="Arial"/>
          <w:sz w:val="24"/>
          <w:szCs w:val="24"/>
        </w:rPr>
        <w:t>stroke (Virani</w:t>
      </w:r>
      <w:r w:rsidR="00D924DE">
        <w:rPr>
          <w:rFonts w:ascii="Arial" w:hAnsi="Arial" w:cs="Arial"/>
          <w:sz w:val="24"/>
          <w:szCs w:val="24"/>
        </w:rPr>
        <w:t xml:space="preserve"> et al.</w:t>
      </w:r>
      <w:r w:rsidR="00900A2F">
        <w:rPr>
          <w:rFonts w:ascii="Arial" w:hAnsi="Arial" w:cs="Arial"/>
          <w:sz w:val="24"/>
          <w:szCs w:val="24"/>
        </w:rPr>
        <w:t>,</w:t>
      </w:r>
      <w:r w:rsidR="007438F3" w:rsidRPr="00AE5947">
        <w:rPr>
          <w:rFonts w:ascii="Arial" w:hAnsi="Arial" w:cs="Arial"/>
          <w:sz w:val="24"/>
          <w:szCs w:val="24"/>
        </w:rPr>
        <w:t xml:space="preserve"> 2021).</w:t>
      </w:r>
      <w:r w:rsidR="00F30759" w:rsidRPr="00AE5947">
        <w:rPr>
          <w:rFonts w:ascii="Arial" w:hAnsi="Arial" w:cs="Arial"/>
          <w:sz w:val="24"/>
          <w:szCs w:val="24"/>
        </w:rPr>
        <w:t xml:space="preserve"> </w:t>
      </w:r>
      <w:r w:rsidR="00F16A0C" w:rsidRPr="00AE5947">
        <w:rPr>
          <w:rFonts w:ascii="Arial" w:hAnsi="Arial" w:cs="Arial"/>
          <w:sz w:val="24"/>
          <w:szCs w:val="24"/>
        </w:rPr>
        <w:t>Established risk factors of high cholesterol include obesity</w:t>
      </w:r>
      <w:r w:rsidR="00213DCB" w:rsidRPr="00AE5947">
        <w:rPr>
          <w:rFonts w:ascii="Arial" w:hAnsi="Arial" w:cs="Arial"/>
          <w:sz w:val="24"/>
          <w:szCs w:val="24"/>
        </w:rPr>
        <w:t>, lack of physical activity</w:t>
      </w:r>
      <w:r w:rsidR="00F16A0C" w:rsidRPr="00AE5947">
        <w:rPr>
          <w:rFonts w:ascii="Arial" w:hAnsi="Arial" w:cs="Arial"/>
          <w:sz w:val="24"/>
          <w:szCs w:val="24"/>
        </w:rPr>
        <w:t xml:space="preserve">, diet high in saturated and </w:t>
      </w:r>
      <w:proofErr w:type="spellStart"/>
      <w:r w:rsidR="00F16A0C" w:rsidRPr="00AE5947">
        <w:rPr>
          <w:rFonts w:ascii="Arial" w:hAnsi="Arial" w:cs="Arial"/>
          <w:sz w:val="24"/>
          <w:szCs w:val="24"/>
        </w:rPr>
        <w:t>trans</w:t>
      </w:r>
      <w:r w:rsidR="00B412F6" w:rsidRPr="00AE5947">
        <w:rPr>
          <w:rFonts w:ascii="Arial" w:hAnsi="Arial" w:cs="Arial"/>
          <w:sz w:val="24"/>
          <w:szCs w:val="24"/>
        </w:rPr>
        <w:t xml:space="preserve"> </w:t>
      </w:r>
      <w:r w:rsidR="00F16A0C" w:rsidRPr="00AE5947">
        <w:rPr>
          <w:rFonts w:ascii="Arial" w:hAnsi="Arial" w:cs="Arial"/>
          <w:sz w:val="24"/>
          <w:szCs w:val="24"/>
        </w:rPr>
        <w:t>fat</w:t>
      </w:r>
      <w:proofErr w:type="spellEnd"/>
      <w:r w:rsidR="00F16A0C" w:rsidRPr="00AE5947">
        <w:rPr>
          <w:rFonts w:ascii="Arial" w:hAnsi="Arial" w:cs="Arial"/>
          <w:sz w:val="24"/>
          <w:szCs w:val="24"/>
        </w:rPr>
        <w:t>, type 2 diabetes,</w:t>
      </w:r>
      <w:r w:rsidR="00B412F6" w:rsidRPr="00AE5947">
        <w:rPr>
          <w:rFonts w:ascii="Arial" w:hAnsi="Arial" w:cs="Arial"/>
          <w:sz w:val="24"/>
          <w:szCs w:val="24"/>
        </w:rPr>
        <w:t xml:space="preserve"> smoking, age, gender, and family history of high cholesterol</w:t>
      </w:r>
      <w:r w:rsidR="00F16A0C" w:rsidRPr="00AE5947">
        <w:rPr>
          <w:rFonts w:ascii="Arial" w:hAnsi="Arial" w:cs="Arial"/>
          <w:sz w:val="24"/>
          <w:szCs w:val="24"/>
        </w:rPr>
        <w:t xml:space="preserve"> (CDC</w:t>
      </w:r>
      <w:r w:rsidR="008D3F11">
        <w:rPr>
          <w:rFonts w:ascii="Arial" w:hAnsi="Arial" w:cs="Arial"/>
          <w:sz w:val="24"/>
          <w:szCs w:val="24"/>
        </w:rPr>
        <w:t>, 2020</w:t>
      </w:r>
      <w:r w:rsidR="00F16A0C" w:rsidRPr="00AE5947">
        <w:rPr>
          <w:rFonts w:ascii="Arial" w:hAnsi="Arial" w:cs="Arial"/>
          <w:sz w:val="24"/>
          <w:szCs w:val="24"/>
        </w:rPr>
        <w:t>).</w:t>
      </w:r>
    </w:p>
    <w:p w14:paraId="5E5D126D" w14:textId="4AB0339A" w:rsidR="00457E06" w:rsidRPr="00AE5947" w:rsidRDefault="00457E06" w:rsidP="00AE5947">
      <w:pPr>
        <w:spacing w:line="480" w:lineRule="auto"/>
        <w:ind w:firstLine="720"/>
        <w:rPr>
          <w:rFonts w:ascii="Arial" w:hAnsi="Arial" w:cs="Arial"/>
          <w:sz w:val="24"/>
          <w:szCs w:val="24"/>
        </w:rPr>
      </w:pPr>
      <w:r w:rsidRPr="00AE5947">
        <w:rPr>
          <w:rFonts w:ascii="Arial" w:hAnsi="Arial" w:cs="Arial"/>
          <w:sz w:val="24"/>
          <w:szCs w:val="24"/>
        </w:rPr>
        <w:t>According to the American Heart Association</w:t>
      </w:r>
      <w:r w:rsidR="00A449B2" w:rsidRPr="00AE5947">
        <w:rPr>
          <w:rFonts w:ascii="Arial" w:hAnsi="Arial" w:cs="Arial"/>
          <w:sz w:val="24"/>
          <w:szCs w:val="24"/>
        </w:rPr>
        <w:t xml:space="preserve">’s </w:t>
      </w:r>
      <w:r w:rsidR="00A449B2" w:rsidRPr="00AE5947">
        <w:rPr>
          <w:rFonts w:ascii="Arial" w:hAnsi="Arial" w:cs="Arial"/>
          <w:i/>
          <w:iCs/>
          <w:sz w:val="24"/>
          <w:szCs w:val="24"/>
        </w:rPr>
        <w:t>Heart Disease and Stroke Statistics—2021 Update</w:t>
      </w:r>
      <w:r w:rsidRPr="00AE5947">
        <w:rPr>
          <w:rFonts w:ascii="Arial" w:hAnsi="Arial" w:cs="Arial"/>
          <w:sz w:val="24"/>
          <w:szCs w:val="24"/>
        </w:rPr>
        <w:t>, adults aged 20 and older in 201</w:t>
      </w:r>
      <w:r w:rsidR="0018109F" w:rsidRPr="00AE5947">
        <w:rPr>
          <w:rFonts w:ascii="Arial" w:hAnsi="Arial" w:cs="Arial"/>
          <w:sz w:val="24"/>
          <w:szCs w:val="24"/>
        </w:rPr>
        <w:t>5</w:t>
      </w:r>
      <w:r w:rsidRPr="00AE5947">
        <w:rPr>
          <w:rFonts w:ascii="Arial" w:hAnsi="Arial" w:cs="Arial"/>
          <w:sz w:val="24"/>
          <w:szCs w:val="24"/>
        </w:rPr>
        <w:t>-201</w:t>
      </w:r>
      <w:r w:rsidR="0018109F" w:rsidRPr="00AE5947">
        <w:rPr>
          <w:rFonts w:ascii="Arial" w:hAnsi="Arial" w:cs="Arial"/>
          <w:sz w:val="24"/>
          <w:szCs w:val="24"/>
        </w:rPr>
        <w:t>8</w:t>
      </w:r>
      <w:r w:rsidRPr="00AE5947">
        <w:rPr>
          <w:rFonts w:ascii="Arial" w:hAnsi="Arial" w:cs="Arial"/>
          <w:sz w:val="24"/>
          <w:szCs w:val="24"/>
        </w:rPr>
        <w:t xml:space="preserve"> had a mean TC of 190.</w:t>
      </w:r>
      <w:r w:rsidR="0018109F" w:rsidRPr="00AE5947">
        <w:rPr>
          <w:rFonts w:ascii="Arial" w:hAnsi="Arial" w:cs="Arial"/>
          <w:sz w:val="24"/>
          <w:szCs w:val="24"/>
        </w:rPr>
        <w:t>6</w:t>
      </w:r>
      <w:r w:rsidRPr="00AE5947">
        <w:rPr>
          <w:rFonts w:ascii="Arial" w:hAnsi="Arial" w:cs="Arial"/>
          <w:sz w:val="24"/>
          <w:szCs w:val="24"/>
        </w:rPr>
        <w:t xml:space="preserve"> mg/dL (Virani</w:t>
      </w:r>
      <w:r w:rsidR="005675D4">
        <w:rPr>
          <w:rFonts w:ascii="Arial" w:hAnsi="Arial" w:cs="Arial"/>
          <w:sz w:val="24"/>
          <w:szCs w:val="24"/>
        </w:rPr>
        <w:t xml:space="preserve"> et al.</w:t>
      </w:r>
      <w:r w:rsidR="00900A2F">
        <w:rPr>
          <w:rFonts w:ascii="Arial" w:hAnsi="Arial" w:cs="Arial"/>
          <w:sz w:val="24"/>
          <w:szCs w:val="24"/>
        </w:rPr>
        <w:t>,</w:t>
      </w:r>
      <w:r w:rsidRPr="00AE5947">
        <w:rPr>
          <w:rFonts w:ascii="Arial" w:hAnsi="Arial" w:cs="Arial"/>
          <w:sz w:val="24"/>
          <w:szCs w:val="24"/>
        </w:rPr>
        <w:t xml:space="preserve"> 202</w:t>
      </w:r>
      <w:r w:rsidR="0018109F" w:rsidRPr="00AE5947">
        <w:rPr>
          <w:rFonts w:ascii="Arial" w:hAnsi="Arial" w:cs="Arial"/>
          <w:sz w:val="24"/>
          <w:szCs w:val="24"/>
        </w:rPr>
        <w:t>1</w:t>
      </w:r>
      <w:r w:rsidRPr="00AE5947">
        <w:rPr>
          <w:rFonts w:ascii="Arial" w:hAnsi="Arial" w:cs="Arial"/>
          <w:sz w:val="24"/>
          <w:szCs w:val="24"/>
        </w:rPr>
        <w:t xml:space="preserve">). This was not within the </w:t>
      </w:r>
      <w:commentRangeStart w:id="0"/>
      <w:r w:rsidRPr="00AE5947">
        <w:rPr>
          <w:rFonts w:ascii="Arial" w:hAnsi="Arial" w:cs="Arial"/>
          <w:sz w:val="24"/>
          <w:szCs w:val="24"/>
        </w:rPr>
        <w:t xml:space="preserve">Healthy People 2020 </w:t>
      </w:r>
      <w:commentRangeEnd w:id="0"/>
      <w:r w:rsidR="007510F2">
        <w:rPr>
          <w:rStyle w:val="CommentReference"/>
        </w:rPr>
        <w:commentReference w:id="0"/>
      </w:r>
      <w:r w:rsidRPr="00AE5947">
        <w:rPr>
          <w:rFonts w:ascii="Arial" w:hAnsi="Arial" w:cs="Arial"/>
          <w:sz w:val="24"/>
          <w:szCs w:val="24"/>
        </w:rPr>
        <w:t xml:space="preserve">target goal of 177.9 mg/dL. It </w:t>
      </w:r>
      <w:r w:rsidR="00C01D87" w:rsidRPr="00AE5947">
        <w:rPr>
          <w:rFonts w:ascii="Arial" w:hAnsi="Arial" w:cs="Arial"/>
          <w:sz w:val="24"/>
          <w:szCs w:val="24"/>
        </w:rPr>
        <w:t>was</w:t>
      </w:r>
      <w:r w:rsidRPr="00AE5947">
        <w:rPr>
          <w:rFonts w:ascii="Arial" w:hAnsi="Arial" w:cs="Arial"/>
          <w:sz w:val="24"/>
          <w:szCs w:val="24"/>
        </w:rPr>
        <w:t xml:space="preserve"> also estimated that 9</w:t>
      </w:r>
      <w:r w:rsidR="00FE530F" w:rsidRPr="00AE5947">
        <w:rPr>
          <w:rFonts w:ascii="Arial" w:hAnsi="Arial" w:cs="Arial"/>
          <w:sz w:val="24"/>
          <w:szCs w:val="24"/>
        </w:rPr>
        <w:t>3</w:t>
      </w:r>
      <w:r w:rsidRPr="00AE5947">
        <w:rPr>
          <w:rFonts w:ascii="Arial" w:hAnsi="Arial" w:cs="Arial"/>
          <w:sz w:val="24"/>
          <w:szCs w:val="24"/>
        </w:rPr>
        <w:t>.</w:t>
      </w:r>
      <w:r w:rsidR="00FE530F" w:rsidRPr="00AE5947">
        <w:rPr>
          <w:rFonts w:ascii="Arial" w:hAnsi="Arial" w:cs="Arial"/>
          <w:sz w:val="24"/>
          <w:szCs w:val="24"/>
        </w:rPr>
        <w:t>9</w:t>
      </w:r>
      <w:r w:rsidRPr="00AE5947">
        <w:rPr>
          <w:rFonts w:ascii="Arial" w:hAnsi="Arial" w:cs="Arial"/>
          <w:sz w:val="24"/>
          <w:szCs w:val="24"/>
        </w:rPr>
        <w:t xml:space="preserve"> million</w:t>
      </w:r>
      <w:r w:rsidR="00596ADB" w:rsidRPr="00AE5947">
        <w:rPr>
          <w:rFonts w:ascii="Arial" w:hAnsi="Arial" w:cs="Arial"/>
          <w:sz w:val="24"/>
          <w:szCs w:val="24"/>
        </w:rPr>
        <w:t>,</w:t>
      </w:r>
      <w:r w:rsidRPr="00AE5947">
        <w:rPr>
          <w:rFonts w:ascii="Arial" w:hAnsi="Arial" w:cs="Arial"/>
          <w:sz w:val="24"/>
          <w:szCs w:val="24"/>
        </w:rPr>
        <w:t xml:space="preserve"> or 38.</w:t>
      </w:r>
      <w:r w:rsidR="005B3A34" w:rsidRPr="00AE5947">
        <w:rPr>
          <w:rFonts w:ascii="Arial" w:hAnsi="Arial" w:cs="Arial"/>
          <w:sz w:val="24"/>
          <w:szCs w:val="24"/>
        </w:rPr>
        <w:t>1</w:t>
      </w:r>
      <w:r w:rsidRPr="00AE5947">
        <w:rPr>
          <w:rFonts w:ascii="Arial" w:hAnsi="Arial" w:cs="Arial"/>
          <w:sz w:val="24"/>
          <w:szCs w:val="24"/>
        </w:rPr>
        <w:t>%</w:t>
      </w:r>
      <w:r w:rsidR="00596ADB" w:rsidRPr="00AE5947">
        <w:rPr>
          <w:rFonts w:ascii="Arial" w:hAnsi="Arial" w:cs="Arial"/>
          <w:sz w:val="24"/>
          <w:szCs w:val="24"/>
        </w:rPr>
        <w:t>,</w:t>
      </w:r>
      <w:r w:rsidR="00C85E4C" w:rsidRPr="00AE5947">
        <w:rPr>
          <w:rFonts w:ascii="Arial" w:hAnsi="Arial" w:cs="Arial"/>
          <w:sz w:val="24"/>
          <w:szCs w:val="24"/>
        </w:rPr>
        <w:t xml:space="preserve"> of U.S. adults</w:t>
      </w:r>
      <w:r w:rsidRPr="00AE5947">
        <w:rPr>
          <w:rFonts w:ascii="Arial" w:hAnsi="Arial" w:cs="Arial"/>
          <w:sz w:val="24"/>
          <w:szCs w:val="24"/>
        </w:rPr>
        <w:t xml:space="preserve"> </w:t>
      </w:r>
      <w:r w:rsidR="009B247B" w:rsidRPr="00AE5947">
        <w:rPr>
          <w:rFonts w:ascii="Arial" w:hAnsi="Arial" w:cs="Arial"/>
          <w:sz w:val="24"/>
          <w:szCs w:val="24"/>
        </w:rPr>
        <w:t>had</w:t>
      </w:r>
      <w:r w:rsidRPr="00AE5947">
        <w:rPr>
          <w:rFonts w:ascii="Arial" w:hAnsi="Arial" w:cs="Arial"/>
          <w:sz w:val="24"/>
          <w:szCs w:val="24"/>
        </w:rPr>
        <w:t xml:space="preserve"> greater than 200 mg/dL TC. For TC greater than 240 mg/dL the estimated affected adults </w:t>
      </w:r>
      <w:r w:rsidR="007420E7" w:rsidRPr="00AE5947">
        <w:rPr>
          <w:rFonts w:ascii="Arial" w:hAnsi="Arial" w:cs="Arial"/>
          <w:sz w:val="24"/>
          <w:szCs w:val="24"/>
        </w:rPr>
        <w:t>were</w:t>
      </w:r>
      <w:r w:rsidRPr="00AE5947">
        <w:rPr>
          <w:rFonts w:ascii="Arial" w:hAnsi="Arial" w:cs="Arial"/>
          <w:sz w:val="24"/>
          <w:szCs w:val="24"/>
        </w:rPr>
        <w:t xml:space="preserve"> 28 million, or 11.</w:t>
      </w:r>
      <w:r w:rsidR="00D1660C" w:rsidRPr="00AE5947">
        <w:rPr>
          <w:rFonts w:ascii="Arial" w:hAnsi="Arial" w:cs="Arial"/>
          <w:sz w:val="24"/>
          <w:szCs w:val="24"/>
        </w:rPr>
        <w:t>5</w:t>
      </w:r>
      <w:r w:rsidRPr="00AE5947">
        <w:rPr>
          <w:rFonts w:ascii="Arial" w:hAnsi="Arial" w:cs="Arial"/>
          <w:sz w:val="24"/>
          <w:szCs w:val="24"/>
        </w:rPr>
        <w:t>%. Although the prevalence of high TC in adults had decreased from 18.3% in 2000 to 1</w:t>
      </w:r>
      <w:r w:rsidR="00B73988" w:rsidRPr="00AE5947">
        <w:rPr>
          <w:rFonts w:ascii="Arial" w:hAnsi="Arial" w:cs="Arial"/>
          <w:sz w:val="24"/>
          <w:szCs w:val="24"/>
        </w:rPr>
        <w:t>0</w:t>
      </w:r>
      <w:r w:rsidRPr="00AE5947">
        <w:rPr>
          <w:rFonts w:ascii="Arial" w:hAnsi="Arial" w:cs="Arial"/>
          <w:sz w:val="24"/>
          <w:szCs w:val="24"/>
        </w:rPr>
        <w:t>.</w:t>
      </w:r>
      <w:r w:rsidR="00B73988" w:rsidRPr="00AE5947">
        <w:rPr>
          <w:rFonts w:ascii="Arial" w:hAnsi="Arial" w:cs="Arial"/>
          <w:sz w:val="24"/>
          <w:szCs w:val="24"/>
        </w:rPr>
        <w:t>5</w:t>
      </w:r>
      <w:r w:rsidRPr="00AE5947">
        <w:rPr>
          <w:rFonts w:ascii="Arial" w:hAnsi="Arial" w:cs="Arial"/>
          <w:sz w:val="24"/>
          <w:szCs w:val="24"/>
        </w:rPr>
        <w:t>% in 201</w:t>
      </w:r>
      <w:r w:rsidR="00B73988" w:rsidRPr="00AE5947">
        <w:rPr>
          <w:rFonts w:ascii="Arial" w:hAnsi="Arial" w:cs="Arial"/>
          <w:sz w:val="24"/>
          <w:szCs w:val="24"/>
        </w:rPr>
        <w:t>8</w:t>
      </w:r>
      <w:r w:rsidRPr="00AE5947">
        <w:rPr>
          <w:rFonts w:ascii="Arial" w:hAnsi="Arial" w:cs="Arial"/>
          <w:sz w:val="24"/>
          <w:szCs w:val="24"/>
        </w:rPr>
        <w:t xml:space="preserve">, the report states that the decline is likely due to greater uptake of medications rather than </w:t>
      </w:r>
      <w:r w:rsidR="00AB4FEE" w:rsidRPr="00AE5947">
        <w:rPr>
          <w:rFonts w:ascii="Arial" w:hAnsi="Arial" w:cs="Arial"/>
          <w:sz w:val="24"/>
          <w:szCs w:val="24"/>
        </w:rPr>
        <w:t xml:space="preserve">changes in </w:t>
      </w:r>
      <w:r w:rsidRPr="00AE5947">
        <w:rPr>
          <w:rFonts w:ascii="Arial" w:hAnsi="Arial" w:cs="Arial"/>
          <w:sz w:val="24"/>
          <w:szCs w:val="24"/>
        </w:rPr>
        <w:t>lifestyle.</w:t>
      </w:r>
      <w:r w:rsidR="00F30759" w:rsidRPr="00AE5947">
        <w:rPr>
          <w:rFonts w:ascii="Arial" w:hAnsi="Arial" w:cs="Arial"/>
          <w:sz w:val="24"/>
          <w:szCs w:val="24"/>
        </w:rPr>
        <w:t xml:space="preserve"> </w:t>
      </w:r>
      <w:r w:rsidR="00E30648" w:rsidRPr="00AE5947">
        <w:rPr>
          <w:rFonts w:ascii="Arial" w:hAnsi="Arial" w:cs="Arial"/>
          <w:sz w:val="24"/>
          <w:szCs w:val="24"/>
        </w:rPr>
        <w:t>The estimated economic burden of managing and preventing</w:t>
      </w:r>
      <w:r w:rsidRPr="00AE5947">
        <w:rPr>
          <w:rFonts w:ascii="Arial" w:hAnsi="Arial" w:cs="Arial"/>
          <w:sz w:val="24"/>
          <w:szCs w:val="24"/>
        </w:rPr>
        <w:t xml:space="preserve"> </w:t>
      </w:r>
      <w:r w:rsidR="009B085D" w:rsidRPr="00AE5947">
        <w:rPr>
          <w:rFonts w:ascii="Arial" w:hAnsi="Arial" w:cs="Arial"/>
          <w:sz w:val="24"/>
          <w:szCs w:val="24"/>
        </w:rPr>
        <w:t>high cholesterol</w:t>
      </w:r>
      <w:r w:rsidR="00E30648" w:rsidRPr="00AE5947">
        <w:rPr>
          <w:rFonts w:ascii="Arial" w:hAnsi="Arial" w:cs="Arial"/>
          <w:sz w:val="24"/>
          <w:szCs w:val="24"/>
        </w:rPr>
        <w:t xml:space="preserve"> in the U.S. </w:t>
      </w:r>
      <w:r w:rsidRPr="00AE5947">
        <w:rPr>
          <w:rFonts w:ascii="Arial" w:hAnsi="Arial" w:cs="Arial"/>
          <w:sz w:val="24"/>
          <w:szCs w:val="24"/>
        </w:rPr>
        <w:t>is between $18.5 million and $77 million</w:t>
      </w:r>
      <w:r w:rsidR="00C775AB" w:rsidRPr="00AE5947">
        <w:rPr>
          <w:rFonts w:ascii="Arial" w:hAnsi="Arial" w:cs="Arial"/>
          <w:sz w:val="24"/>
          <w:szCs w:val="24"/>
        </w:rPr>
        <w:t xml:space="preserve"> every year. </w:t>
      </w:r>
      <w:r w:rsidR="00B51B43" w:rsidRPr="00AE5947">
        <w:rPr>
          <w:rFonts w:ascii="Arial" w:hAnsi="Arial" w:cs="Arial"/>
          <w:sz w:val="24"/>
          <w:szCs w:val="24"/>
        </w:rPr>
        <w:t>The</w:t>
      </w:r>
      <w:r w:rsidR="00C775AB" w:rsidRPr="00AE5947">
        <w:rPr>
          <w:rFonts w:ascii="Arial" w:hAnsi="Arial" w:cs="Arial"/>
          <w:sz w:val="24"/>
          <w:szCs w:val="24"/>
        </w:rPr>
        <w:t xml:space="preserve"> estimated burden </w:t>
      </w:r>
      <w:r w:rsidR="00B51B43" w:rsidRPr="00AE5947">
        <w:rPr>
          <w:rFonts w:ascii="Arial" w:hAnsi="Arial" w:cs="Arial"/>
          <w:sz w:val="24"/>
          <w:szCs w:val="24"/>
        </w:rPr>
        <w:t>of CVD</w:t>
      </w:r>
      <w:r w:rsidR="008A54AD" w:rsidRPr="00AE5947">
        <w:rPr>
          <w:rFonts w:ascii="Arial" w:hAnsi="Arial" w:cs="Arial"/>
          <w:sz w:val="24"/>
          <w:szCs w:val="24"/>
        </w:rPr>
        <w:t>, an outcome of having</w:t>
      </w:r>
      <w:r w:rsidR="00E0761E" w:rsidRPr="00AE5947">
        <w:rPr>
          <w:rFonts w:ascii="Arial" w:hAnsi="Arial" w:cs="Arial"/>
          <w:sz w:val="24"/>
          <w:szCs w:val="24"/>
        </w:rPr>
        <w:t xml:space="preserve"> high cholesterol,</w:t>
      </w:r>
      <w:r w:rsidR="00B51B43" w:rsidRPr="00AE5947">
        <w:rPr>
          <w:rFonts w:ascii="Arial" w:hAnsi="Arial" w:cs="Arial"/>
          <w:sz w:val="24"/>
          <w:szCs w:val="24"/>
        </w:rPr>
        <w:t xml:space="preserve"> </w:t>
      </w:r>
      <w:r w:rsidR="00C775AB" w:rsidRPr="00AE5947">
        <w:rPr>
          <w:rFonts w:ascii="Arial" w:hAnsi="Arial" w:cs="Arial"/>
          <w:sz w:val="24"/>
          <w:szCs w:val="24"/>
        </w:rPr>
        <w:t>is $219 billion (Ferrara</w:t>
      </w:r>
      <w:r w:rsidR="00450F5F">
        <w:rPr>
          <w:rFonts w:ascii="Arial" w:hAnsi="Arial" w:cs="Arial"/>
          <w:sz w:val="24"/>
          <w:szCs w:val="24"/>
        </w:rPr>
        <w:t xml:space="preserve"> et al.</w:t>
      </w:r>
      <w:r w:rsidR="00900A2F">
        <w:rPr>
          <w:rFonts w:ascii="Arial" w:hAnsi="Arial" w:cs="Arial"/>
          <w:sz w:val="24"/>
          <w:szCs w:val="24"/>
        </w:rPr>
        <w:t>,</w:t>
      </w:r>
      <w:r w:rsidR="00C775AB" w:rsidRPr="00AE5947">
        <w:rPr>
          <w:rFonts w:ascii="Arial" w:hAnsi="Arial" w:cs="Arial"/>
          <w:sz w:val="24"/>
          <w:szCs w:val="24"/>
        </w:rPr>
        <w:t xml:space="preserve"> </w:t>
      </w:r>
      <w:commentRangeStart w:id="1"/>
      <w:r w:rsidR="00C775AB" w:rsidRPr="00AE5947">
        <w:rPr>
          <w:rFonts w:ascii="Arial" w:hAnsi="Arial" w:cs="Arial"/>
          <w:sz w:val="24"/>
          <w:szCs w:val="24"/>
        </w:rPr>
        <w:t>2021</w:t>
      </w:r>
      <w:commentRangeEnd w:id="1"/>
      <w:r w:rsidR="005C6CED">
        <w:rPr>
          <w:rStyle w:val="CommentReference"/>
        </w:rPr>
        <w:commentReference w:id="1"/>
      </w:r>
      <w:r w:rsidR="00C775AB" w:rsidRPr="00AE5947">
        <w:rPr>
          <w:rFonts w:ascii="Arial" w:hAnsi="Arial" w:cs="Arial"/>
          <w:sz w:val="24"/>
          <w:szCs w:val="24"/>
        </w:rPr>
        <w:t>).</w:t>
      </w:r>
    </w:p>
    <w:p w14:paraId="379AE22C" w14:textId="1A92181E" w:rsidR="009629A2" w:rsidRPr="00AE5947" w:rsidRDefault="009629A2" w:rsidP="00AE5947">
      <w:pPr>
        <w:spacing w:line="480" w:lineRule="auto"/>
        <w:rPr>
          <w:rFonts w:ascii="Arial" w:hAnsi="Arial" w:cs="Arial"/>
          <w:b/>
          <w:bCs/>
          <w:sz w:val="24"/>
          <w:szCs w:val="24"/>
        </w:rPr>
      </w:pPr>
      <w:r w:rsidRPr="00AE5947">
        <w:rPr>
          <w:rFonts w:ascii="Arial" w:hAnsi="Arial" w:cs="Arial"/>
          <w:b/>
          <w:bCs/>
          <w:sz w:val="24"/>
          <w:szCs w:val="24"/>
        </w:rPr>
        <w:t>Epidemiology of the exposure</w:t>
      </w:r>
    </w:p>
    <w:p w14:paraId="2851060C" w14:textId="6EAD4D02" w:rsidR="005472E6" w:rsidRPr="00AE5947" w:rsidRDefault="0049413C" w:rsidP="00AE5947">
      <w:pPr>
        <w:spacing w:line="480" w:lineRule="auto"/>
        <w:ind w:firstLine="720"/>
        <w:rPr>
          <w:rFonts w:ascii="Arial" w:hAnsi="Arial" w:cs="Arial"/>
          <w:sz w:val="24"/>
          <w:szCs w:val="24"/>
        </w:rPr>
      </w:pPr>
      <w:r w:rsidRPr="00AE5947">
        <w:rPr>
          <w:rFonts w:ascii="Arial" w:hAnsi="Arial" w:cs="Arial"/>
          <w:sz w:val="24"/>
          <w:szCs w:val="24"/>
        </w:rPr>
        <w:lastRenderedPageBreak/>
        <w:t xml:space="preserve">During 2019 in the </w:t>
      </w:r>
      <w:r w:rsidR="006D3F29" w:rsidRPr="00AE5947">
        <w:rPr>
          <w:rFonts w:ascii="Arial" w:hAnsi="Arial" w:cs="Arial"/>
          <w:sz w:val="24"/>
          <w:szCs w:val="24"/>
        </w:rPr>
        <w:t>U.S.</w:t>
      </w:r>
      <w:r w:rsidR="00346260" w:rsidRPr="00AE5947">
        <w:rPr>
          <w:rFonts w:ascii="Arial" w:hAnsi="Arial" w:cs="Arial"/>
          <w:sz w:val="24"/>
          <w:szCs w:val="24"/>
        </w:rPr>
        <w:t xml:space="preserve">, the Bureau of Labor Statistics reported full-time employees spent an average of 8.78 hours per workday on </w:t>
      </w:r>
      <w:r w:rsidR="00055424" w:rsidRPr="00AE5947">
        <w:rPr>
          <w:rFonts w:ascii="Arial" w:hAnsi="Arial" w:cs="Arial"/>
          <w:sz w:val="24"/>
          <w:szCs w:val="24"/>
        </w:rPr>
        <w:t>work or work-related activities</w:t>
      </w:r>
      <w:r w:rsidR="003A2D57" w:rsidRPr="00AE5947">
        <w:rPr>
          <w:rFonts w:ascii="Arial" w:hAnsi="Arial" w:cs="Arial"/>
          <w:sz w:val="24"/>
          <w:szCs w:val="24"/>
        </w:rPr>
        <w:t xml:space="preserve">. </w:t>
      </w:r>
      <w:r w:rsidR="00EF54D0" w:rsidRPr="00AE5947">
        <w:rPr>
          <w:rFonts w:ascii="Arial" w:hAnsi="Arial" w:cs="Arial"/>
          <w:sz w:val="24"/>
          <w:szCs w:val="24"/>
        </w:rPr>
        <w:t xml:space="preserve">This becomes 43.9 hours throughout a 5-day workweek. Globally, 36.1% of workers exceed </w:t>
      </w:r>
      <w:r w:rsidR="005472E6" w:rsidRPr="00AE5947">
        <w:rPr>
          <w:rFonts w:ascii="Arial" w:hAnsi="Arial" w:cs="Arial"/>
          <w:sz w:val="24"/>
          <w:szCs w:val="24"/>
        </w:rPr>
        <w:t>48 hours each week (Rivera</w:t>
      </w:r>
      <w:r w:rsidR="00065BC3">
        <w:rPr>
          <w:rFonts w:ascii="Arial" w:hAnsi="Arial" w:cs="Arial"/>
          <w:sz w:val="24"/>
          <w:szCs w:val="24"/>
        </w:rPr>
        <w:t xml:space="preserve"> et al.</w:t>
      </w:r>
      <w:r w:rsidR="00900A2F">
        <w:rPr>
          <w:rFonts w:ascii="Arial" w:hAnsi="Arial" w:cs="Arial"/>
          <w:sz w:val="24"/>
          <w:szCs w:val="24"/>
        </w:rPr>
        <w:t>,</w:t>
      </w:r>
      <w:r w:rsidR="005472E6" w:rsidRPr="00AE5947">
        <w:rPr>
          <w:rFonts w:ascii="Arial" w:hAnsi="Arial" w:cs="Arial"/>
          <w:sz w:val="24"/>
          <w:szCs w:val="24"/>
        </w:rPr>
        <w:t xml:space="preserve"> 2020).</w:t>
      </w:r>
      <w:r w:rsidR="00F30759" w:rsidRPr="00AE5947">
        <w:rPr>
          <w:rFonts w:ascii="Arial" w:hAnsi="Arial" w:cs="Arial"/>
          <w:sz w:val="24"/>
          <w:szCs w:val="24"/>
        </w:rPr>
        <w:t xml:space="preserve"> </w:t>
      </w:r>
      <w:r w:rsidR="00391C15" w:rsidRPr="00AE5947">
        <w:rPr>
          <w:rFonts w:ascii="Arial" w:hAnsi="Arial" w:cs="Arial"/>
          <w:sz w:val="24"/>
          <w:szCs w:val="24"/>
        </w:rPr>
        <w:t xml:space="preserve">These </w:t>
      </w:r>
      <w:r w:rsidR="00E962C0" w:rsidRPr="00AE5947">
        <w:rPr>
          <w:rFonts w:ascii="Arial" w:hAnsi="Arial" w:cs="Arial"/>
          <w:sz w:val="24"/>
          <w:szCs w:val="24"/>
        </w:rPr>
        <w:t xml:space="preserve">numbers surpass many </w:t>
      </w:r>
      <w:r w:rsidR="00C9079E" w:rsidRPr="00AE5947">
        <w:rPr>
          <w:rFonts w:ascii="Arial" w:hAnsi="Arial" w:cs="Arial"/>
          <w:sz w:val="24"/>
          <w:szCs w:val="24"/>
        </w:rPr>
        <w:t>developed countries’ standards and recommendations</w:t>
      </w:r>
      <w:r w:rsidR="000C6902" w:rsidRPr="00AE5947">
        <w:rPr>
          <w:rFonts w:ascii="Arial" w:hAnsi="Arial" w:cs="Arial"/>
          <w:sz w:val="24"/>
          <w:szCs w:val="24"/>
        </w:rPr>
        <w:t>. The Australian government mandates employers must not work their employees over 38 hours per week without reason. The European Union states that employers ensure their workers do not exceed an average of 48 hours per week including overtime.</w:t>
      </w:r>
      <w:r w:rsidR="000E3CAB" w:rsidRPr="00AE5947">
        <w:rPr>
          <w:rFonts w:ascii="Arial" w:hAnsi="Arial" w:cs="Arial"/>
          <w:sz w:val="24"/>
          <w:szCs w:val="24"/>
        </w:rPr>
        <w:t xml:space="preserve"> </w:t>
      </w:r>
      <w:r w:rsidR="000229F6">
        <w:rPr>
          <w:rFonts w:ascii="Arial" w:hAnsi="Arial" w:cs="Arial"/>
          <w:sz w:val="24"/>
          <w:szCs w:val="24"/>
        </w:rPr>
        <w:t>T</w:t>
      </w:r>
      <w:r w:rsidR="00A6550B">
        <w:rPr>
          <w:rFonts w:ascii="Arial" w:hAnsi="Arial" w:cs="Arial"/>
          <w:sz w:val="24"/>
          <w:szCs w:val="24"/>
        </w:rPr>
        <w:t xml:space="preserve">he </w:t>
      </w:r>
      <w:r w:rsidR="004C6FFB" w:rsidRPr="00AE5947">
        <w:rPr>
          <w:rFonts w:ascii="Arial" w:hAnsi="Arial" w:cs="Arial"/>
          <w:sz w:val="24"/>
          <w:szCs w:val="24"/>
        </w:rPr>
        <w:t>U.S.</w:t>
      </w:r>
      <w:r w:rsidR="00175C27" w:rsidRPr="00AE5947">
        <w:rPr>
          <w:rFonts w:ascii="Arial" w:hAnsi="Arial" w:cs="Arial"/>
          <w:sz w:val="24"/>
          <w:szCs w:val="24"/>
        </w:rPr>
        <w:t xml:space="preserve"> </w:t>
      </w:r>
      <w:r w:rsidR="00175C27" w:rsidRPr="00A6550B">
        <w:rPr>
          <w:rFonts w:ascii="Arial" w:hAnsi="Arial" w:cs="Arial"/>
          <w:i/>
          <w:iCs/>
          <w:sz w:val="24"/>
          <w:szCs w:val="24"/>
        </w:rPr>
        <w:t>Fair Labor and Standards Act</w:t>
      </w:r>
      <w:r w:rsidR="00175C27" w:rsidRPr="00AE5947">
        <w:rPr>
          <w:rFonts w:ascii="Arial" w:hAnsi="Arial" w:cs="Arial"/>
          <w:sz w:val="24"/>
          <w:szCs w:val="24"/>
        </w:rPr>
        <w:t xml:space="preserve"> </w:t>
      </w:r>
      <w:r w:rsidR="00A6550B">
        <w:rPr>
          <w:rFonts w:ascii="Arial" w:hAnsi="Arial" w:cs="Arial"/>
          <w:sz w:val="24"/>
          <w:szCs w:val="24"/>
        </w:rPr>
        <w:t xml:space="preserve">(1938) </w:t>
      </w:r>
      <w:r w:rsidR="002E208C" w:rsidRPr="00AE5947">
        <w:rPr>
          <w:rFonts w:ascii="Arial" w:hAnsi="Arial" w:cs="Arial"/>
          <w:sz w:val="24"/>
          <w:szCs w:val="24"/>
        </w:rPr>
        <w:t>requires overtime pay after 40 hours</w:t>
      </w:r>
      <w:r w:rsidR="00227064">
        <w:rPr>
          <w:rFonts w:ascii="Arial" w:hAnsi="Arial" w:cs="Arial"/>
          <w:sz w:val="24"/>
          <w:szCs w:val="24"/>
        </w:rPr>
        <w:t xml:space="preserve"> in a week</w:t>
      </w:r>
      <w:r w:rsidR="002E208C" w:rsidRPr="00AE5947">
        <w:rPr>
          <w:rFonts w:ascii="Arial" w:hAnsi="Arial" w:cs="Arial"/>
          <w:sz w:val="24"/>
          <w:szCs w:val="24"/>
        </w:rPr>
        <w:t xml:space="preserve"> for</w:t>
      </w:r>
      <w:r w:rsidR="00A64E63" w:rsidRPr="00AE5947">
        <w:rPr>
          <w:rFonts w:ascii="Arial" w:hAnsi="Arial" w:cs="Arial"/>
          <w:sz w:val="24"/>
          <w:szCs w:val="24"/>
        </w:rPr>
        <w:t xml:space="preserve"> </w:t>
      </w:r>
      <w:r w:rsidR="002E208C" w:rsidRPr="00AE5947">
        <w:rPr>
          <w:rFonts w:ascii="Arial" w:hAnsi="Arial" w:cs="Arial"/>
          <w:sz w:val="24"/>
          <w:szCs w:val="24"/>
        </w:rPr>
        <w:t>nonexempt employees</w:t>
      </w:r>
      <w:r w:rsidR="00E8454F" w:rsidRPr="00AE5947">
        <w:rPr>
          <w:rFonts w:ascii="Arial" w:hAnsi="Arial" w:cs="Arial"/>
          <w:sz w:val="24"/>
          <w:szCs w:val="24"/>
        </w:rPr>
        <w:t>, and there is no maximum</w:t>
      </w:r>
      <w:r w:rsidR="006979B2" w:rsidRPr="00AE5947">
        <w:rPr>
          <w:rFonts w:ascii="Arial" w:hAnsi="Arial" w:cs="Arial"/>
          <w:sz w:val="24"/>
          <w:szCs w:val="24"/>
        </w:rPr>
        <w:t xml:space="preserve"> number of hours</w:t>
      </w:r>
      <w:r w:rsidR="00A6550B">
        <w:rPr>
          <w:rFonts w:ascii="Arial" w:hAnsi="Arial" w:cs="Arial"/>
          <w:sz w:val="24"/>
          <w:szCs w:val="24"/>
        </w:rPr>
        <w:t>.</w:t>
      </w:r>
    </w:p>
    <w:p w14:paraId="34EEE9CA" w14:textId="2C899E4E" w:rsidR="00EB3528" w:rsidRPr="00AE5947" w:rsidRDefault="00DC5787" w:rsidP="00AE5947">
      <w:pPr>
        <w:spacing w:line="480" w:lineRule="auto"/>
        <w:ind w:firstLine="720"/>
        <w:rPr>
          <w:rFonts w:ascii="Arial" w:hAnsi="Arial" w:cs="Arial"/>
          <w:sz w:val="24"/>
          <w:szCs w:val="24"/>
        </w:rPr>
      </w:pPr>
      <w:r w:rsidRPr="00AE5947">
        <w:rPr>
          <w:rFonts w:ascii="Arial" w:hAnsi="Arial" w:cs="Arial"/>
          <w:sz w:val="24"/>
          <w:szCs w:val="24"/>
        </w:rPr>
        <w:t>When defining long working hours in research, prior studies have used various cut points such as &gt;40 per week</w:t>
      </w:r>
      <w:r w:rsidR="0097778B">
        <w:rPr>
          <w:rFonts w:ascii="Arial" w:hAnsi="Arial" w:cs="Arial"/>
          <w:sz w:val="24"/>
          <w:szCs w:val="24"/>
        </w:rPr>
        <w:t xml:space="preserve"> (Rivera et al., 2020)</w:t>
      </w:r>
      <w:r w:rsidRPr="00AE5947">
        <w:rPr>
          <w:rFonts w:ascii="Arial" w:hAnsi="Arial" w:cs="Arial"/>
          <w:sz w:val="24"/>
          <w:szCs w:val="24"/>
        </w:rPr>
        <w:t>, &gt;80 hours per week</w:t>
      </w:r>
      <w:r w:rsidR="00A71CAF">
        <w:rPr>
          <w:rFonts w:ascii="Arial" w:hAnsi="Arial" w:cs="Arial"/>
          <w:sz w:val="24"/>
          <w:szCs w:val="24"/>
        </w:rPr>
        <w:t xml:space="preserve"> (Lee et al., 201</w:t>
      </w:r>
      <w:r w:rsidR="003B3920">
        <w:rPr>
          <w:rFonts w:ascii="Arial" w:hAnsi="Arial" w:cs="Arial"/>
          <w:sz w:val="24"/>
          <w:szCs w:val="24"/>
        </w:rPr>
        <w:t>6</w:t>
      </w:r>
      <w:r w:rsidR="00A71CAF">
        <w:rPr>
          <w:rFonts w:ascii="Arial" w:hAnsi="Arial" w:cs="Arial"/>
          <w:sz w:val="24"/>
          <w:szCs w:val="24"/>
        </w:rPr>
        <w:t>)</w:t>
      </w:r>
      <w:r w:rsidRPr="00AE5947">
        <w:rPr>
          <w:rFonts w:ascii="Arial" w:hAnsi="Arial" w:cs="Arial"/>
          <w:sz w:val="24"/>
          <w:szCs w:val="24"/>
        </w:rPr>
        <w:t>, and &gt;11 hours per day (</w:t>
      </w:r>
      <w:r w:rsidR="002F3715">
        <w:rPr>
          <w:rFonts w:ascii="Arial" w:hAnsi="Arial" w:cs="Arial"/>
          <w:sz w:val="24"/>
          <w:szCs w:val="24"/>
        </w:rPr>
        <w:t>Lemke et al., 20</w:t>
      </w:r>
      <w:r w:rsidR="003B7A9C">
        <w:rPr>
          <w:rFonts w:ascii="Arial" w:hAnsi="Arial" w:cs="Arial"/>
          <w:sz w:val="24"/>
          <w:szCs w:val="24"/>
        </w:rPr>
        <w:t>17</w:t>
      </w:r>
      <w:r w:rsidRPr="00AE5947">
        <w:rPr>
          <w:rFonts w:ascii="Arial" w:hAnsi="Arial" w:cs="Arial"/>
          <w:sz w:val="24"/>
          <w:szCs w:val="24"/>
        </w:rPr>
        <w:t xml:space="preserve">). </w:t>
      </w:r>
      <w:r w:rsidR="00286BED" w:rsidRPr="00AE5947">
        <w:rPr>
          <w:rFonts w:ascii="Arial" w:hAnsi="Arial" w:cs="Arial"/>
          <w:sz w:val="24"/>
          <w:szCs w:val="24"/>
        </w:rPr>
        <w:t>According to the</w:t>
      </w:r>
      <w:r w:rsidR="00B120BA">
        <w:rPr>
          <w:rFonts w:ascii="Arial" w:hAnsi="Arial" w:cs="Arial"/>
          <w:sz w:val="24"/>
          <w:szCs w:val="24"/>
        </w:rPr>
        <w:t xml:space="preserve"> U.S.</w:t>
      </w:r>
      <w:r w:rsidR="00286BED" w:rsidRPr="00AE5947">
        <w:rPr>
          <w:rFonts w:ascii="Arial" w:hAnsi="Arial" w:cs="Arial"/>
          <w:sz w:val="24"/>
          <w:szCs w:val="24"/>
        </w:rPr>
        <w:t xml:space="preserve"> </w:t>
      </w:r>
      <w:r w:rsidR="007C0519" w:rsidRPr="00034562">
        <w:rPr>
          <w:rFonts w:ascii="Arial" w:hAnsi="Arial" w:cs="Arial"/>
          <w:i/>
          <w:iCs/>
          <w:sz w:val="24"/>
          <w:szCs w:val="24"/>
        </w:rPr>
        <w:t xml:space="preserve">Patient Protection and Affordable Care Act </w:t>
      </w:r>
      <w:r w:rsidR="007C0519">
        <w:rPr>
          <w:rFonts w:ascii="Arial" w:hAnsi="Arial" w:cs="Arial"/>
          <w:sz w:val="24"/>
          <w:szCs w:val="24"/>
        </w:rPr>
        <w:t>(2010)</w:t>
      </w:r>
      <w:r w:rsidR="00ED2443" w:rsidRPr="00AE5947">
        <w:rPr>
          <w:rFonts w:ascii="Arial" w:hAnsi="Arial" w:cs="Arial"/>
          <w:sz w:val="24"/>
          <w:szCs w:val="24"/>
        </w:rPr>
        <w:t xml:space="preserve">, </w:t>
      </w:r>
      <w:r w:rsidR="00167C17" w:rsidRPr="00AE5947">
        <w:rPr>
          <w:rFonts w:ascii="Arial" w:hAnsi="Arial" w:cs="Arial"/>
          <w:sz w:val="24"/>
          <w:szCs w:val="24"/>
        </w:rPr>
        <w:t xml:space="preserve">employees working at </w:t>
      </w:r>
      <w:commentRangeStart w:id="2"/>
      <w:r w:rsidR="00167C17" w:rsidRPr="00AE5947">
        <w:rPr>
          <w:rFonts w:ascii="Arial" w:hAnsi="Arial" w:cs="Arial"/>
          <w:sz w:val="24"/>
          <w:szCs w:val="24"/>
        </w:rPr>
        <w:t xml:space="preserve">least </w:t>
      </w:r>
      <w:commentRangeEnd w:id="2"/>
      <w:r w:rsidR="002C35AC">
        <w:rPr>
          <w:rStyle w:val="CommentReference"/>
        </w:rPr>
        <w:commentReference w:id="2"/>
      </w:r>
      <w:r w:rsidR="00167C17" w:rsidRPr="00AE5947">
        <w:rPr>
          <w:rFonts w:ascii="Arial" w:hAnsi="Arial" w:cs="Arial"/>
          <w:sz w:val="24"/>
          <w:szCs w:val="24"/>
        </w:rPr>
        <w:t>30 hours per week on average are considered full</w:t>
      </w:r>
      <w:r w:rsidR="00876E33" w:rsidRPr="00AE5947">
        <w:rPr>
          <w:rFonts w:ascii="Arial" w:hAnsi="Arial" w:cs="Arial"/>
          <w:sz w:val="24"/>
          <w:szCs w:val="24"/>
        </w:rPr>
        <w:t>-time.</w:t>
      </w:r>
      <w:r w:rsidR="00F30759" w:rsidRPr="00AE5947">
        <w:rPr>
          <w:rFonts w:ascii="Arial" w:hAnsi="Arial" w:cs="Arial"/>
          <w:sz w:val="24"/>
          <w:szCs w:val="24"/>
        </w:rPr>
        <w:t xml:space="preserve"> </w:t>
      </w:r>
      <w:r w:rsidR="002D4609" w:rsidRPr="00AE5947">
        <w:rPr>
          <w:rFonts w:ascii="Arial" w:hAnsi="Arial" w:cs="Arial"/>
          <w:sz w:val="24"/>
          <w:szCs w:val="24"/>
        </w:rPr>
        <w:t xml:space="preserve">Working long hours leaves less time for </w:t>
      </w:r>
      <w:r w:rsidR="00203023" w:rsidRPr="00AE5947">
        <w:rPr>
          <w:rFonts w:ascii="Arial" w:hAnsi="Arial" w:cs="Arial"/>
          <w:sz w:val="24"/>
          <w:szCs w:val="24"/>
        </w:rPr>
        <w:t xml:space="preserve">reaching the CDC’s guidelines of recommended exercise, </w:t>
      </w:r>
      <w:r w:rsidR="007F4589" w:rsidRPr="00AE5947">
        <w:rPr>
          <w:rFonts w:ascii="Arial" w:hAnsi="Arial" w:cs="Arial"/>
          <w:sz w:val="24"/>
          <w:szCs w:val="24"/>
        </w:rPr>
        <w:t>diet, and sleep</w:t>
      </w:r>
      <w:r w:rsidR="004E4ABD" w:rsidRPr="00AE5947">
        <w:rPr>
          <w:rFonts w:ascii="Arial" w:hAnsi="Arial" w:cs="Arial"/>
          <w:sz w:val="24"/>
          <w:szCs w:val="24"/>
        </w:rPr>
        <w:t xml:space="preserve"> (</w:t>
      </w:r>
      <w:proofErr w:type="spellStart"/>
      <w:r w:rsidR="004509ED">
        <w:rPr>
          <w:rFonts w:ascii="Arial" w:hAnsi="Arial" w:cs="Arial"/>
          <w:sz w:val="24"/>
          <w:szCs w:val="24"/>
        </w:rPr>
        <w:t>Artazcoz</w:t>
      </w:r>
      <w:proofErr w:type="spellEnd"/>
      <w:r w:rsidR="004509ED">
        <w:rPr>
          <w:rFonts w:ascii="Arial" w:hAnsi="Arial" w:cs="Arial"/>
          <w:sz w:val="24"/>
          <w:szCs w:val="24"/>
        </w:rPr>
        <w:t xml:space="preserve"> et al., 2009</w:t>
      </w:r>
      <w:r w:rsidR="004E4ABD" w:rsidRPr="00AE5947">
        <w:rPr>
          <w:rFonts w:ascii="Arial" w:hAnsi="Arial" w:cs="Arial"/>
          <w:sz w:val="24"/>
          <w:szCs w:val="24"/>
        </w:rPr>
        <w:t xml:space="preserve">). </w:t>
      </w:r>
      <w:r w:rsidR="002250F2" w:rsidRPr="00AE5947">
        <w:rPr>
          <w:rFonts w:ascii="Arial" w:hAnsi="Arial" w:cs="Arial"/>
          <w:sz w:val="24"/>
          <w:szCs w:val="24"/>
        </w:rPr>
        <w:t>It also can expose individuals to greater amounts of work strain and psychological stress. These</w:t>
      </w:r>
      <w:r w:rsidR="00D21041" w:rsidRPr="00AE5947">
        <w:rPr>
          <w:rFonts w:ascii="Arial" w:hAnsi="Arial" w:cs="Arial"/>
          <w:sz w:val="24"/>
          <w:szCs w:val="24"/>
        </w:rPr>
        <w:t xml:space="preserve"> experiences have been shown to increase </w:t>
      </w:r>
      <w:r w:rsidR="00927B8A" w:rsidRPr="00AE5947">
        <w:rPr>
          <w:rFonts w:ascii="Arial" w:hAnsi="Arial" w:cs="Arial"/>
          <w:sz w:val="24"/>
          <w:szCs w:val="24"/>
        </w:rPr>
        <w:t xml:space="preserve">other biomarkers such as </w:t>
      </w:r>
      <w:r w:rsidR="0006544B" w:rsidRPr="00AE5947">
        <w:rPr>
          <w:rFonts w:ascii="Arial" w:hAnsi="Arial" w:cs="Arial"/>
          <w:sz w:val="24"/>
          <w:szCs w:val="24"/>
        </w:rPr>
        <w:t>blood pressure and heart rate</w:t>
      </w:r>
      <w:r w:rsidR="008A579E" w:rsidRPr="00AE5947">
        <w:rPr>
          <w:rFonts w:ascii="Arial" w:hAnsi="Arial" w:cs="Arial"/>
          <w:sz w:val="24"/>
          <w:szCs w:val="24"/>
        </w:rPr>
        <w:t xml:space="preserve"> instability (</w:t>
      </w:r>
      <w:proofErr w:type="spellStart"/>
      <w:r w:rsidR="005B621F" w:rsidRPr="002B000E">
        <w:rPr>
          <w:rFonts w:ascii="Arial" w:hAnsi="Arial" w:cs="Arial"/>
          <w:sz w:val="24"/>
          <w:szCs w:val="24"/>
        </w:rPr>
        <w:t>Kivimaki</w:t>
      </w:r>
      <w:proofErr w:type="spellEnd"/>
      <w:r w:rsidR="005B621F">
        <w:rPr>
          <w:rFonts w:ascii="Arial" w:hAnsi="Arial" w:cs="Arial"/>
          <w:sz w:val="24"/>
          <w:szCs w:val="24"/>
        </w:rPr>
        <w:t xml:space="preserve"> &amp; Steptoe, </w:t>
      </w:r>
      <w:commentRangeStart w:id="3"/>
      <w:r w:rsidR="005B621F">
        <w:rPr>
          <w:rFonts w:ascii="Arial" w:hAnsi="Arial" w:cs="Arial"/>
          <w:sz w:val="24"/>
          <w:szCs w:val="24"/>
        </w:rPr>
        <w:t>2018</w:t>
      </w:r>
      <w:commentRangeEnd w:id="3"/>
      <w:r w:rsidR="003D4B01">
        <w:rPr>
          <w:rStyle w:val="CommentReference"/>
        </w:rPr>
        <w:commentReference w:id="3"/>
      </w:r>
      <w:r w:rsidR="008A579E" w:rsidRPr="00AE5947">
        <w:rPr>
          <w:rFonts w:ascii="Arial" w:hAnsi="Arial" w:cs="Arial"/>
          <w:sz w:val="24"/>
          <w:szCs w:val="24"/>
        </w:rPr>
        <w:t>).</w:t>
      </w:r>
    </w:p>
    <w:p w14:paraId="434490D0" w14:textId="241FCADA" w:rsidR="009629A2" w:rsidRPr="00AE5947" w:rsidRDefault="009629A2" w:rsidP="00AE5947">
      <w:pPr>
        <w:spacing w:line="480" w:lineRule="auto"/>
        <w:rPr>
          <w:rFonts w:ascii="Arial" w:hAnsi="Arial" w:cs="Arial"/>
          <w:b/>
          <w:bCs/>
          <w:sz w:val="24"/>
          <w:szCs w:val="24"/>
        </w:rPr>
      </w:pPr>
      <w:commentRangeStart w:id="4"/>
      <w:r w:rsidRPr="00AE5947">
        <w:rPr>
          <w:rFonts w:ascii="Arial" w:hAnsi="Arial" w:cs="Arial"/>
          <w:b/>
          <w:bCs/>
          <w:sz w:val="24"/>
          <w:szCs w:val="24"/>
        </w:rPr>
        <w:t xml:space="preserve">Literature </w:t>
      </w:r>
      <w:r w:rsidR="004612BD" w:rsidRPr="00AE5947">
        <w:rPr>
          <w:rFonts w:ascii="Arial" w:hAnsi="Arial" w:cs="Arial"/>
          <w:b/>
          <w:bCs/>
          <w:sz w:val="24"/>
          <w:szCs w:val="24"/>
        </w:rPr>
        <w:t>review</w:t>
      </w:r>
      <w:commentRangeEnd w:id="4"/>
      <w:r w:rsidR="00F33CBC">
        <w:rPr>
          <w:rStyle w:val="CommentReference"/>
        </w:rPr>
        <w:commentReference w:id="4"/>
      </w:r>
    </w:p>
    <w:p w14:paraId="4731A3DD" w14:textId="337DA851" w:rsidR="009629A2" w:rsidRPr="00AE5947" w:rsidRDefault="0098428C" w:rsidP="00AE5947">
      <w:pPr>
        <w:spacing w:line="480" w:lineRule="auto"/>
        <w:ind w:firstLine="720"/>
        <w:rPr>
          <w:rFonts w:ascii="Arial" w:hAnsi="Arial" w:cs="Arial"/>
          <w:sz w:val="24"/>
          <w:szCs w:val="24"/>
        </w:rPr>
      </w:pPr>
      <w:r w:rsidRPr="00AE5947">
        <w:rPr>
          <w:rFonts w:ascii="Arial" w:hAnsi="Arial" w:cs="Arial"/>
          <w:sz w:val="24"/>
          <w:szCs w:val="24"/>
        </w:rPr>
        <w:t xml:space="preserve">In 1999 a </w:t>
      </w:r>
      <w:commentRangeStart w:id="5"/>
      <w:r w:rsidRPr="00AE5947">
        <w:rPr>
          <w:rFonts w:ascii="Arial" w:hAnsi="Arial" w:cs="Arial"/>
          <w:sz w:val="24"/>
          <w:szCs w:val="24"/>
        </w:rPr>
        <w:t>stud</w:t>
      </w:r>
      <w:r w:rsidR="009B2734" w:rsidRPr="00AE5947">
        <w:rPr>
          <w:rFonts w:ascii="Arial" w:hAnsi="Arial" w:cs="Arial"/>
          <w:sz w:val="24"/>
          <w:szCs w:val="24"/>
        </w:rPr>
        <w:t xml:space="preserve">y examined </w:t>
      </w:r>
      <w:commentRangeEnd w:id="5"/>
      <w:r w:rsidR="009C5ED6">
        <w:rPr>
          <w:rStyle w:val="CommentReference"/>
        </w:rPr>
        <w:commentReference w:id="5"/>
      </w:r>
      <w:r w:rsidR="00D464C6" w:rsidRPr="00AE5947">
        <w:rPr>
          <w:rFonts w:ascii="Arial" w:hAnsi="Arial" w:cs="Arial"/>
          <w:sz w:val="24"/>
          <w:szCs w:val="24"/>
        </w:rPr>
        <w:t>blood cholesterol of engineers in Japan working in machinery manufacturing</w:t>
      </w:r>
      <w:r w:rsidR="00BC5270" w:rsidRPr="00AE5947">
        <w:rPr>
          <w:rFonts w:ascii="Arial" w:hAnsi="Arial" w:cs="Arial"/>
          <w:sz w:val="24"/>
          <w:szCs w:val="24"/>
        </w:rPr>
        <w:t xml:space="preserve"> (Sasaki</w:t>
      </w:r>
      <w:r w:rsidR="00121F2E">
        <w:rPr>
          <w:rFonts w:ascii="Arial" w:hAnsi="Arial" w:cs="Arial"/>
          <w:sz w:val="24"/>
          <w:szCs w:val="24"/>
        </w:rPr>
        <w:t xml:space="preserve"> et al.</w:t>
      </w:r>
      <w:r w:rsidR="00B4617E">
        <w:rPr>
          <w:rFonts w:ascii="Arial" w:hAnsi="Arial" w:cs="Arial"/>
          <w:sz w:val="24"/>
          <w:szCs w:val="24"/>
        </w:rPr>
        <w:t>,</w:t>
      </w:r>
      <w:r w:rsidR="00BC5270" w:rsidRPr="00AE5947">
        <w:rPr>
          <w:rFonts w:ascii="Arial" w:hAnsi="Arial" w:cs="Arial"/>
          <w:sz w:val="24"/>
          <w:szCs w:val="24"/>
        </w:rPr>
        <w:t xml:space="preserve"> 1999)</w:t>
      </w:r>
      <w:r w:rsidR="00D464C6" w:rsidRPr="00AE5947">
        <w:rPr>
          <w:rFonts w:ascii="Arial" w:hAnsi="Arial" w:cs="Arial"/>
          <w:sz w:val="24"/>
          <w:szCs w:val="24"/>
        </w:rPr>
        <w:t xml:space="preserve">. </w:t>
      </w:r>
      <w:r w:rsidR="004D072C" w:rsidRPr="00AE5947">
        <w:rPr>
          <w:rFonts w:ascii="Arial" w:hAnsi="Arial" w:cs="Arial"/>
          <w:sz w:val="24"/>
          <w:szCs w:val="24"/>
        </w:rPr>
        <w:t xml:space="preserve">No significant differences were </w:t>
      </w:r>
      <w:r w:rsidR="00D168A9" w:rsidRPr="00AE5947">
        <w:rPr>
          <w:rFonts w:ascii="Arial" w:hAnsi="Arial" w:cs="Arial"/>
          <w:sz w:val="24"/>
          <w:szCs w:val="24"/>
        </w:rPr>
        <w:t>directly shown</w:t>
      </w:r>
      <w:r w:rsidR="004E2E07" w:rsidRPr="00AE5947">
        <w:rPr>
          <w:rFonts w:ascii="Arial" w:hAnsi="Arial" w:cs="Arial"/>
          <w:sz w:val="24"/>
          <w:szCs w:val="24"/>
        </w:rPr>
        <w:t xml:space="preserve"> between the </w:t>
      </w:r>
      <w:r w:rsidR="00BC5270" w:rsidRPr="00AE5947">
        <w:rPr>
          <w:rFonts w:ascii="Arial" w:hAnsi="Arial" w:cs="Arial"/>
          <w:sz w:val="24"/>
          <w:szCs w:val="24"/>
        </w:rPr>
        <w:t xml:space="preserve">weekly </w:t>
      </w:r>
      <w:r w:rsidR="004E2E07" w:rsidRPr="00AE5947">
        <w:rPr>
          <w:rFonts w:ascii="Arial" w:hAnsi="Arial" w:cs="Arial"/>
          <w:sz w:val="24"/>
          <w:szCs w:val="24"/>
        </w:rPr>
        <w:t xml:space="preserve">working hours of &lt;57, 57-63, and &gt;63. They did note though </w:t>
      </w:r>
      <w:r w:rsidR="004E2E07" w:rsidRPr="00AE5947">
        <w:rPr>
          <w:rFonts w:ascii="Arial" w:hAnsi="Arial" w:cs="Arial"/>
          <w:sz w:val="24"/>
          <w:szCs w:val="24"/>
        </w:rPr>
        <w:lastRenderedPageBreak/>
        <w:t xml:space="preserve">that </w:t>
      </w:r>
      <w:r w:rsidR="00CB4B0C" w:rsidRPr="00AE5947">
        <w:rPr>
          <w:rFonts w:ascii="Arial" w:hAnsi="Arial" w:cs="Arial"/>
          <w:sz w:val="24"/>
          <w:szCs w:val="24"/>
        </w:rPr>
        <w:t xml:space="preserve">a stratification by age </w:t>
      </w:r>
      <w:r w:rsidR="00F3152F" w:rsidRPr="00AE5947">
        <w:rPr>
          <w:rFonts w:ascii="Arial" w:hAnsi="Arial" w:cs="Arial"/>
          <w:sz w:val="24"/>
          <w:szCs w:val="24"/>
        </w:rPr>
        <w:t xml:space="preserve">resulted with an </w:t>
      </w:r>
      <w:commentRangeStart w:id="6"/>
      <w:r w:rsidR="00F3152F" w:rsidRPr="00AE5947">
        <w:rPr>
          <w:rFonts w:ascii="Arial" w:hAnsi="Arial" w:cs="Arial"/>
          <w:sz w:val="24"/>
          <w:szCs w:val="24"/>
        </w:rPr>
        <w:t xml:space="preserve">interaction </w:t>
      </w:r>
      <w:commentRangeEnd w:id="6"/>
      <w:r w:rsidR="00A46321">
        <w:rPr>
          <w:rStyle w:val="CommentReference"/>
        </w:rPr>
        <w:commentReference w:id="6"/>
      </w:r>
      <w:r w:rsidR="00F3152F" w:rsidRPr="00AE5947">
        <w:rPr>
          <w:rFonts w:ascii="Arial" w:hAnsi="Arial" w:cs="Arial"/>
          <w:sz w:val="24"/>
          <w:szCs w:val="24"/>
        </w:rPr>
        <w:t>for the age group of 30-39, but not the age group of 20-29.</w:t>
      </w:r>
      <w:r w:rsidR="00047003" w:rsidRPr="00AE5947">
        <w:rPr>
          <w:rFonts w:ascii="Arial" w:hAnsi="Arial" w:cs="Arial"/>
          <w:sz w:val="24"/>
          <w:szCs w:val="24"/>
        </w:rPr>
        <w:t xml:space="preserve"> The group with 57-63 w</w:t>
      </w:r>
      <w:r w:rsidR="00BC5270" w:rsidRPr="00AE5947">
        <w:rPr>
          <w:rFonts w:ascii="Arial" w:hAnsi="Arial" w:cs="Arial"/>
          <w:sz w:val="24"/>
          <w:szCs w:val="24"/>
        </w:rPr>
        <w:t xml:space="preserve">ork hours had </w:t>
      </w:r>
      <w:r w:rsidR="008C672E" w:rsidRPr="00AE5947">
        <w:rPr>
          <w:rFonts w:ascii="Arial" w:hAnsi="Arial" w:cs="Arial"/>
          <w:sz w:val="24"/>
          <w:szCs w:val="24"/>
        </w:rPr>
        <w:t>a higher mean TC than the other two groups.</w:t>
      </w:r>
    </w:p>
    <w:p w14:paraId="23F725A2" w14:textId="25A2E86F" w:rsidR="008C672E" w:rsidRPr="00AE5947" w:rsidRDefault="002B5891" w:rsidP="00AE5947">
      <w:pPr>
        <w:spacing w:line="480" w:lineRule="auto"/>
        <w:ind w:firstLine="720"/>
        <w:rPr>
          <w:rFonts w:ascii="Arial" w:hAnsi="Arial" w:cs="Arial"/>
          <w:sz w:val="24"/>
          <w:szCs w:val="24"/>
        </w:rPr>
      </w:pPr>
      <w:r w:rsidRPr="00AE5947">
        <w:rPr>
          <w:rFonts w:ascii="Arial" w:hAnsi="Arial" w:cs="Arial"/>
          <w:sz w:val="24"/>
          <w:szCs w:val="24"/>
        </w:rPr>
        <w:t xml:space="preserve">A survey of </w:t>
      </w:r>
      <w:r w:rsidR="00622765" w:rsidRPr="00AE5947">
        <w:rPr>
          <w:rFonts w:ascii="Arial" w:hAnsi="Arial" w:cs="Arial"/>
          <w:sz w:val="24"/>
          <w:szCs w:val="24"/>
        </w:rPr>
        <w:t xml:space="preserve">random working adults in France </w:t>
      </w:r>
      <w:r w:rsidR="00460A0A" w:rsidRPr="00AE5947">
        <w:rPr>
          <w:rFonts w:ascii="Arial" w:hAnsi="Arial" w:cs="Arial"/>
          <w:sz w:val="24"/>
          <w:szCs w:val="24"/>
        </w:rPr>
        <w:t>described</w:t>
      </w:r>
      <w:r w:rsidR="00622765" w:rsidRPr="00AE5947">
        <w:rPr>
          <w:rFonts w:ascii="Arial" w:hAnsi="Arial" w:cs="Arial"/>
          <w:sz w:val="24"/>
          <w:szCs w:val="24"/>
        </w:rPr>
        <w:t xml:space="preserve"> that exposure to long working hours, defined as </w:t>
      </w:r>
      <w:r w:rsidR="00E202EE" w:rsidRPr="00AE5947">
        <w:rPr>
          <w:rFonts w:ascii="Arial" w:hAnsi="Arial" w:cs="Arial"/>
          <w:sz w:val="24"/>
          <w:szCs w:val="24"/>
        </w:rPr>
        <w:t>+10-hour</w:t>
      </w:r>
      <w:r w:rsidR="00622765" w:rsidRPr="00AE5947">
        <w:rPr>
          <w:rFonts w:ascii="Arial" w:hAnsi="Arial" w:cs="Arial"/>
          <w:sz w:val="24"/>
          <w:szCs w:val="24"/>
        </w:rPr>
        <w:t xml:space="preserve"> days in at least 50 days out of the year, </w:t>
      </w:r>
      <w:r w:rsidR="00460A0A" w:rsidRPr="00AE5947">
        <w:rPr>
          <w:rFonts w:ascii="Arial" w:hAnsi="Arial" w:cs="Arial"/>
          <w:sz w:val="24"/>
          <w:szCs w:val="24"/>
        </w:rPr>
        <w:t xml:space="preserve">was associated with </w:t>
      </w:r>
      <w:r w:rsidR="00E202EE" w:rsidRPr="00AE5947">
        <w:rPr>
          <w:rFonts w:ascii="Arial" w:hAnsi="Arial" w:cs="Arial"/>
          <w:sz w:val="24"/>
          <w:szCs w:val="24"/>
        </w:rPr>
        <w:t>adverse lipid levels in men</w:t>
      </w:r>
      <w:r w:rsidR="006E54F7" w:rsidRPr="00AE5947">
        <w:rPr>
          <w:rFonts w:ascii="Arial" w:hAnsi="Arial" w:cs="Arial"/>
          <w:sz w:val="24"/>
          <w:szCs w:val="24"/>
        </w:rPr>
        <w:t xml:space="preserve"> (Virtanen</w:t>
      </w:r>
      <w:r w:rsidR="00A35286">
        <w:rPr>
          <w:rFonts w:ascii="Arial" w:hAnsi="Arial" w:cs="Arial"/>
          <w:sz w:val="24"/>
          <w:szCs w:val="24"/>
        </w:rPr>
        <w:t xml:space="preserve"> et al.</w:t>
      </w:r>
      <w:r w:rsidR="00B4617E">
        <w:rPr>
          <w:rFonts w:ascii="Arial" w:hAnsi="Arial" w:cs="Arial"/>
          <w:sz w:val="24"/>
          <w:szCs w:val="24"/>
        </w:rPr>
        <w:t>,</w:t>
      </w:r>
      <w:r w:rsidR="006E54F7" w:rsidRPr="00AE5947">
        <w:rPr>
          <w:rFonts w:ascii="Arial" w:hAnsi="Arial" w:cs="Arial"/>
          <w:sz w:val="24"/>
          <w:szCs w:val="24"/>
        </w:rPr>
        <w:t xml:space="preserve"> 2019)</w:t>
      </w:r>
      <w:r w:rsidR="00E202EE" w:rsidRPr="00AE5947">
        <w:rPr>
          <w:rFonts w:ascii="Arial" w:hAnsi="Arial" w:cs="Arial"/>
          <w:sz w:val="24"/>
          <w:szCs w:val="24"/>
        </w:rPr>
        <w:t>. Their results were not significant for women.</w:t>
      </w:r>
    </w:p>
    <w:p w14:paraId="6FF6DD2C" w14:textId="1D237686" w:rsidR="00E202EE" w:rsidRPr="00AE5947" w:rsidRDefault="00B10D93" w:rsidP="00AE5947">
      <w:pPr>
        <w:spacing w:line="480" w:lineRule="auto"/>
        <w:ind w:firstLine="720"/>
        <w:rPr>
          <w:rFonts w:ascii="Arial" w:hAnsi="Arial" w:cs="Arial"/>
          <w:sz w:val="24"/>
          <w:szCs w:val="24"/>
        </w:rPr>
      </w:pPr>
      <w:r w:rsidRPr="00AE5947">
        <w:rPr>
          <w:rFonts w:ascii="Arial" w:hAnsi="Arial" w:cs="Arial"/>
          <w:sz w:val="24"/>
          <w:szCs w:val="24"/>
        </w:rPr>
        <w:t>In a meta-analysis of long working hour</w:t>
      </w:r>
      <w:r w:rsidR="00C267D2" w:rsidRPr="00AE5947">
        <w:rPr>
          <w:rFonts w:ascii="Arial" w:hAnsi="Arial" w:cs="Arial"/>
          <w:sz w:val="24"/>
          <w:szCs w:val="24"/>
        </w:rPr>
        <w:t xml:space="preserve">s, </w:t>
      </w:r>
      <w:r w:rsidR="00072D80" w:rsidRPr="00AE5947">
        <w:rPr>
          <w:rFonts w:ascii="Arial" w:hAnsi="Arial" w:cs="Arial"/>
          <w:sz w:val="24"/>
          <w:szCs w:val="24"/>
        </w:rPr>
        <w:t>coronary heart disease</w:t>
      </w:r>
      <w:r w:rsidR="00C267D2" w:rsidRPr="00AE5947">
        <w:rPr>
          <w:rFonts w:ascii="Arial" w:hAnsi="Arial" w:cs="Arial"/>
          <w:sz w:val="24"/>
          <w:szCs w:val="24"/>
        </w:rPr>
        <w:t xml:space="preserve">, and stroke resulted with a </w:t>
      </w:r>
      <w:r w:rsidR="00E8298D" w:rsidRPr="00AE5947">
        <w:rPr>
          <w:rFonts w:ascii="Arial" w:hAnsi="Arial" w:cs="Arial"/>
          <w:sz w:val="24"/>
          <w:szCs w:val="24"/>
        </w:rPr>
        <w:t>27% increased risk of stroke in working 49-54 hours per week compared to 36-40 hours</w:t>
      </w:r>
      <w:r w:rsidR="006E54F7" w:rsidRPr="00AE5947">
        <w:rPr>
          <w:rFonts w:ascii="Arial" w:hAnsi="Arial" w:cs="Arial"/>
          <w:sz w:val="24"/>
          <w:szCs w:val="24"/>
        </w:rPr>
        <w:t xml:space="preserve"> (</w:t>
      </w:r>
      <w:proofErr w:type="spellStart"/>
      <w:r w:rsidR="004A6751" w:rsidRPr="00AE5947">
        <w:rPr>
          <w:rFonts w:ascii="Arial" w:hAnsi="Arial" w:cs="Arial"/>
          <w:sz w:val="24"/>
          <w:szCs w:val="24"/>
        </w:rPr>
        <w:t>Kivimaki</w:t>
      </w:r>
      <w:proofErr w:type="spellEnd"/>
      <w:r w:rsidR="00DA21CD">
        <w:rPr>
          <w:rFonts w:ascii="Arial" w:hAnsi="Arial" w:cs="Arial"/>
          <w:sz w:val="24"/>
          <w:szCs w:val="24"/>
        </w:rPr>
        <w:t xml:space="preserve"> et al.</w:t>
      </w:r>
      <w:r w:rsidR="00B4617E">
        <w:rPr>
          <w:rFonts w:ascii="Arial" w:hAnsi="Arial" w:cs="Arial"/>
          <w:sz w:val="24"/>
          <w:szCs w:val="24"/>
        </w:rPr>
        <w:t>,</w:t>
      </w:r>
      <w:r w:rsidR="004A6751" w:rsidRPr="00AE5947">
        <w:rPr>
          <w:rFonts w:ascii="Arial" w:hAnsi="Arial" w:cs="Arial"/>
          <w:sz w:val="24"/>
          <w:szCs w:val="24"/>
        </w:rPr>
        <w:t xml:space="preserve"> 2015)</w:t>
      </w:r>
      <w:r w:rsidR="00E8298D" w:rsidRPr="00AE5947">
        <w:rPr>
          <w:rFonts w:ascii="Arial" w:hAnsi="Arial" w:cs="Arial"/>
          <w:sz w:val="24"/>
          <w:szCs w:val="24"/>
        </w:rPr>
        <w:t xml:space="preserve">. The risk of those working </w:t>
      </w:r>
      <w:r w:rsidR="00CA03D9" w:rsidRPr="00AE5947">
        <w:rPr>
          <w:rFonts w:ascii="Arial" w:hAnsi="Arial" w:cs="Arial"/>
          <w:sz w:val="24"/>
          <w:szCs w:val="24"/>
        </w:rPr>
        <w:t>more</w:t>
      </w:r>
      <w:r w:rsidR="00E8298D" w:rsidRPr="00AE5947">
        <w:rPr>
          <w:rFonts w:ascii="Arial" w:hAnsi="Arial" w:cs="Arial"/>
          <w:sz w:val="24"/>
          <w:szCs w:val="24"/>
        </w:rPr>
        <w:t xml:space="preserve"> than 55 hours</w:t>
      </w:r>
      <w:r w:rsidR="005C4A31" w:rsidRPr="00AE5947">
        <w:rPr>
          <w:rFonts w:ascii="Arial" w:hAnsi="Arial" w:cs="Arial"/>
          <w:sz w:val="24"/>
          <w:szCs w:val="24"/>
        </w:rPr>
        <w:t xml:space="preserve"> was</w:t>
      </w:r>
      <w:r w:rsidR="00CA03D9" w:rsidRPr="00AE5947">
        <w:rPr>
          <w:rFonts w:ascii="Arial" w:hAnsi="Arial" w:cs="Arial"/>
          <w:sz w:val="24"/>
          <w:szCs w:val="24"/>
        </w:rPr>
        <w:t xml:space="preserve"> </w:t>
      </w:r>
      <w:r w:rsidR="005C4A31" w:rsidRPr="00AE5947">
        <w:rPr>
          <w:rFonts w:ascii="Arial" w:hAnsi="Arial" w:cs="Arial"/>
          <w:sz w:val="24"/>
          <w:szCs w:val="24"/>
        </w:rPr>
        <w:t>33%</w:t>
      </w:r>
      <w:r w:rsidR="00CA03D9" w:rsidRPr="00AE5947">
        <w:rPr>
          <w:rFonts w:ascii="Arial" w:hAnsi="Arial" w:cs="Arial"/>
          <w:sz w:val="24"/>
          <w:szCs w:val="24"/>
        </w:rPr>
        <w:t xml:space="preserve"> greater</w:t>
      </w:r>
      <w:r w:rsidR="005C4A31" w:rsidRPr="00AE5947">
        <w:rPr>
          <w:rFonts w:ascii="Arial" w:hAnsi="Arial" w:cs="Arial"/>
          <w:sz w:val="24"/>
          <w:szCs w:val="24"/>
        </w:rPr>
        <w:t>.</w:t>
      </w:r>
    </w:p>
    <w:p w14:paraId="0941E78B" w14:textId="26A5FCD9" w:rsidR="005C4A31" w:rsidRPr="00AE5947" w:rsidRDefault="00547AED" w:rsidP="00AE5947">
      <w:pPr>
        <w:spacing w:line="480" w:lineRule="auto"/>
        <w:ind w:firstLine="720"/>
        <w:rPr>
          <w:rFonts w:ascii="Arial" w:hAnsi="Arial" w:cs="Arial"/>
          <w:sz w:val="24"/>
          <w:szCs w:val="24"/>
        </w:rPr>
      </w:pPr>
      <w:r w:rsidRPr="00AE5947">
        <w:rPr>
          <w:rFonts w:ascii="Arial" w:hAnsi="Arial" w:cs="Arial"/>
          <w:sz w:val="24"/>
          <w:szCs w:val="24"/>
        </w:rPr>
        <w:t>Researche</w:t>
      </w:r>
      <w:r w:rsidR="00B849D8" w:rsidRPr="00AE5947">
        <w:rPr>
          <w:rFonts w:ascii="Arial" w:hAnsi="Arial" w:cs="Arial"/>
          <w:sz w:val="24"/>
          <w:szCs w:val="24"/>
        </w:rPr>
        <w:t>r</w:t>
      </w:r>
      <w:r w:rsidRPr="00AE5947">
        <w:rPr>
          <w:rFonts w:ascii="Arial" w:hAnsi="Arial" w:cs="Arial"/>
          <w:sz w:val="24"/>
          <w:szCs w:val="24"/>
        </w:rPr>
        <w:t xml:space="preserve">s examining data from the Korean NHANES data </w:t>
      </w:r>
      <w:r w:rsidR="000F2FA8" w:rsidRPr="00AE5947">
        <w:rPr>
          <w:rFonts w:ascii="Arial" w:hAnsi="Arial" w:cs="Arial"/>
          <w:sz w:val="24"/>
          <w:szCs w:val="24"/>
        </w:rPr>
        <w:t>showed</w:t>
      </w:r>
      <w:r w:rsidR="00D06C68" w:rsidRPr="00AE5947">
        <w:rPr>
          <w:rFonts w:ascii="Arial" w:hAnsi="Arial" w:cs="Arial"/>
          <w:sz w:val="24"/>
          <w:szCs w:val="24"/>
        </w:rPr>
        <w:t xml:space="preserve"> 1.76 times higher odds of </w:t>
      </w:r>
      <w:r w:rsidR="003C748C" w:rsidRPr="00AE5947">
        <w:rPr>
          <w:rFonts w:ascii="Arial" w:hAnsi="Arial" w:cs="Arial"/>
          <w:sz w:val="24"/>
          <w:szCs w:val="24"/>
        </w:rPr>
        <w:t>coronary heart disease</w:t>
      </w:r>
      <w:r w:rsidR="00D06C68" w:rsidRPr="00AE5947">
        <w:rPr>
          <w:rFonts w:ascii="Arial" w:hAnsi="Arial" w:cs="Arial"/>
          <w:sz w:val="24"/>
          <w:szCs w:val="24"/>
        </w:rPr>
        <w:t xml:space="preserve"> for men and 1.63 times higher </w:t>
      </w:r>
      <w:r w:rsidR="00637517" w:rsidRPr="00AE5947">
        <w:rPr>
          <w:rFonts w:ascii="Arial" w:hAnsi="Arial" w:cs="Arial"/>
          <w:sz w:val="24"/>
          <w:szCs w:val="24"/>
        </w:rPr>
        <w:t>odds</w:t>
      </w:r>
      <w:r w:rsidR="00D06C68" w:rsidRPr="00AE5947">
        <w:rPr>
          <w:rFonts w:ascii="Arial" w:hAnsi="Arial" w:cs="Arial"/>
          <w:sz w:val="24"/>
          <w:szCs w:val="24"/>
        </w:rPr>
        <w:t xml:space="preserve"> for women working &gt;80 hours per week </w:t>
      </w:r>
      <w:r w:rsidR="00637517" w:rsidRPr="00AE5947">
        <w:rPr>
          <w:rFonts w:ascii="Arial" w:hAnsi="Arial" w:cs="Arial"/>
          <w:sz w:val="24"/>
          <w:szCs w:val="24"/>
        </w:rPr>
        <w:t>compared to those working 40 hours per week</w:t>
      </w:r>
      <w:r w:rsidR="004A6751" w:rsidRPr="00AE5947">
        <w:rPr>
          <w:rFonts w:ascii="Arial" w:hAnsi="Arial" w:cs="Arial"/>
          <w:sz w:val="24"/>
          <w:szCs w:val="24"/>
        </w:rPr>
        <w:t xml:space="preserve"> (Lee</w:t>
      </w:r>
      <w:r w:rsidR="003B3920">
        <w:rPr>
          <w:rFonts w:ascii="Arial" w:hAnsi="Arial" w:cs="Arial"/>
          <w:sz w:val="24"/>
          <w:szCs w:val="24"/>
        </w:rPr>
        <w:t xml:space="preserve"> et al.</w:t>
      </w:r>
      <w:r w:rsidR="00B4617E">
        <w:rPr>
          <w:rFonts w:ascii="Arial" w:hAnsi="Arial" w:cs="Arial"/>
          <w:sz w:val="24"/>
          <w:szCs w:val="24"/>
        </w:rPr>
        <w:t>,</w:t>
      </w:r>
      <w:r w:rsidR="004A6751" w:rsidRPr="00AE5947">
        <w:rPr>
          <w:rFonts w:ascii="Arial" w:hAnsi="Arial" w:cs="Arial"/>
          <w:sz w:val="24"/>
          <w:szCs w:val="24"/>
        </w:rPr>
        <w:t xml:space="preserve"> 2016)</w:t>
      </w:r>
      <w:r w:rsidR="00637517" w:rsidRPr="00AE5947">
        <w:rPr>
          <w:rFonts w:ascii="Arial" w:hAnsi="Arial" w:cs="Arial"/>
          <w:sz w:val="24"/>
          <w:szCs w:val="24"/>
        </w:rPr>
        <w:t>.</w:t>
      </w:r>
      <w:r w:rsidR="00B849D8" w:rsidRPr="00AE5947">
        <w:rPr>
          <w:rFonts w:ascii="Arial" w:hAnsi="Arial" w:cs="Arial"/>
          <w:sz w:val="24"/>
          <w:szCs w:val="24"/>
        </w:rPr>
        <w:t xml:space="preserve"> The risk of stroke </w:t>
      </w:r>
      <w:r w:rsidR="00916CD9" w:rsidRPr="00AE5947">
        <w:rPr>
          <w:rFonts w:ascii="Arial" w:hAnsi="Arial" w:cs="Arial"/>
          <w:sz w:val="24"/>
          <w:szCs w:val="24"/>
        </w:rPr>
        <w:t>in these two working groups for men was insignificant, but women working &gt;80 hours had 2.32 times higher odds of stroke than women working 40 hours.</w:t>
      </w:r>
    </w:p>
    <w:p w14:paraId="0E058512" w14:textId="7FCE3179" w:rsidR="00916CD9" w:rsidRPr="00AE5947" w:rsidRDefault="00A91EC8" w:rsidP="00AE5947">
      <w:pPr>
        <w:spacing w:line="480" w:lineRule="auto"/>
        <w:ind w:firstLine="720"/>
        <w:rPr>
          <w:rFonts w:ascii="Arial" w:hAnsi="Arial" w:cs="Arial"/>
          <w:sz w:val="24"/>
          <w:szCs w:val="24"/>
        </w:rPr>
      </w:pPr>
      <w:r w:rsidRPr="00AE5947">
        <w:rPr>
          <w:rFonts w:ascii="Arial" w:hAnsi="Arial" w:cs="Arial"/>
          <w:sz w:val="24"/>
          <w:szCs w:val="24"/>
        </w:rPr>
        <w:t xml:space="preserve">A cross-sectional study of U.S. truck drivers </w:t>
      </w:r>
      <w:commentRangeStart w:id="7"/>
      <w:r w:rsidRPr="00AE5947">
        <w:rPr>
          <w:rFonts w:ascii="Arial" w:hAnsi="Arial" w:cs="Arial"/>
          <w:sz w:val="24"/>
          <w:szCs w:val="24"/>
        </w:rPr>
        <w:t xml:space="preserve">was performed </w:t>
      </w:r>
      <w:commentRangeEnd w:id="7"/>
      <w:r w:rsidR="00206A99">
        <w:rPr>
          <w:rStyle w:val="CommentReference"/>
        </w:rPr>
        <w:commentReference w:id="7"/>
      </w:r>
      <w:r w:rsidRPr="00AE5947">
        <w:rPr>
          <w:rFonts w:ascii="Arial" w:hAnsi="Arial" w:cs="Arial"/>
          <w:sz w:val="24"/>
          <w:szCs w:val="24"/>
        </w:rPr>
        <w:t xml:space="preserve">to </w:t>
      </w:r>
      <w:r w:rsidR="00F906C9" w:rsidRPr="00AE5947">
        <w:rPr>
          <w:rFonts w:ascii="Arial" w:hAnsi="Arial" w:cs="Arial"/>
          <w:sz w:val="24"/>
          <w:szCs w:val="24"/>
        </w:rPr>
        <w:t>explore an effect of long working hours and blood cholesterol measurements</w:t>
      </w:r>
      <w:r w:rsidR="004A6751" w:rsidRPr="00AE5947">
        <w:rPr>
          <w:rFonts w:ascii="Arial" w:hAnsi="Arial" w:cs="Arial"/>
          <w:sz w:val="24"/>
          <w:szCs w:val="24"/>
        </w:rPr>
        <w:t xml:space="preserve"> (</w:t>
      </w:r>
      <w:r w:rsidR="00BF73AA" w:rsidRPr="00AE5947">
        <w:rPr>
          <w:rFonts w:ascii="Arial" w:hAnsi="Arial" w:cs="Arial"/>
          <w:sz w:val="24"/>
          <w:szCs w:val="24"/>
        </w:rPr>
        <w:t>Lemke</w:t>
      </w:r>
      <w:r w:rsidR="00DA21CD">
        <w:rPr>
          <w:rFonts w:ascii="Arial" w:hAnsi="Arial" w:cs="Arial"/>
          <w:sz w:val="24"/>
          <w:szCs w:val="24"/>
        </w:rPr>
        <w:t xml:space="preserve"> et al.</w:t>
      </w:r>
      <w:r w:rsidR="00B4617E">
        <w:rPr>
          <w:rFonts w:ascii="Arial" w:hAnsi="Arial" w:cs="Arial"/>
          <w:sz w:val="24"/>
          <w:szCs w:val="24"/>
        </w:rPr>
        <w:t>,</w:t>
      </w:r>
      <w:r w:rsidR="00BF73AA" w:rsidRPr="00AE5947">
        <w:rPr>
          <w:rFonts w:ascii="Arial" w:hAnsi="Arial" w:cs="Arial"/>
          <w:sz w:val="24"/>
          <w:szCs w:val="24"/>
        </w:rPr>
        <w:t xml:space="preserve"> 2017)</w:t>
      </w:r>
      <w:r w:rsidR="00F906C9" w:rsidRPr="00AE5947">
        <w:rPr>
          <w:rFonts w:ascii="Arial" w:hAnsi="Arial" w:cs="Arial"/>
          <w:sz w:val="24"/>
          <w:szCs w:val="24"/>
        </w:rPr>
        <w:t xml:space="preserve">. </w:t>
      </w:r>
      <w:r w:rsidR="00C975A6" w:rsidRPr="00AE5947">
        <w:rPr>
          <w:rFonts w:ascii="Arial" w:hAnsi="Arial" w:cs="Arial"/>
          <w:sz w:val="24"/>
          <w:szCs w:val="24"/>
        </w:rPr>
        <w:t xml:space="preserve">The study population had a mean </w:t>
      </w:r>
      <w:r w:rsidR="000F2FA8" w:rsidRPr="00AE5947">
        <w:rPr>
          <w:rFonts w:ascii="Arial" w:hAnsi="Arial" w:cs="Arial"/>
          <w:sz w:val="24"/>
          <w:szCs w:val="24"/>
        </w:rPr>
        <w:t>low-density lipoprotein cholesterol</w:t>
      </w:r>
      <w:r w:rsidR="007D690B" w:rsidRPr="00AE5947">
        <w:rPr>
          <w:rFonts w:ascii="Arial" w:hAnsi="Arial" w:cs="Arial"/>
          <w:sz w:val="24"/>
          <w:szCs w:val="24"/>
        </w:rPr>
        <w:t xml:space="preserve"> (LDL-C)</w:t>
      </w:r>
      <w:r w:rsidR="00C975A6" w:rsidRPr="00AE5947">
        <w:rPr>
          <w:rFonts w:ascii="Arial" w:hAnsi="Arial" w:cs="Arial"/>
          <w:sz w:val="24"/>
          <w:szCs w:val="24"/>
        </w:rPr>
        <w:t xml:space="preserve"> of 113.66 mg/dL</w:t>
      </w:r>
      <w:r w:rsidR="00A03BEF" w:rsidRPr="00AE5947">
        <w:rPr>
          <w:rFonts w:ascii="Arial" w:hAnsi="Arial" w:cs="Arial"/>
          <w:sz w:val="24"/>
          <w:szCs w:val="24"/>
        </w:rPr>
        <w:t>. W</w:t>
      </w:r>
      <w:r w:rsidR="0026566B" w:rsidRPr="00AE5947">
        <w:rPr>
          <w:rFonts w:ascii="Arial" w:hAnsi="Arial" w:cs="Arial"/>
          <w:sz w:val="24"/>
          <w:szCs w:val="24"/>
        </w:rPr>
        <w:t xml:space="preserve">hen designing a linear regression model, working greater than 11 hours per day </w:t>
      </w:r>
      <w:r w:rsidR="004A77CF" w:rsidRPr="00AE5947">
        <w:rPr>
          <w:rFonts w:ascii="Arial" w:hAnsi="Arial" w:cs="Arial"/>
          <w:sz w:val="24"/>
          <w:szCs w:val="24"/>
        </w:rPr>
        <w:t xml:space="preserve">significantly </w:t>
      </w:r>
      <w:r w:rsidR="009F51E0" w:rsidRPr="00AE5947">
        <w:rPr>
          <w:rFonts w:ascii="Arial" w:hAnsi="Arial" w:cs="Arial"/>
          <w:sz w:val="24"/>
          <w:szCs w:val="24"/>
        </w:rPr>
        <w:t>increased the estimated LDL-C 14.24 mg/dL.</w:t>
      </w:r>
    </w:p>
    <w:p w14:paraId="1CA1E935" w14:textId="75719B99" w:rsidR="004A77CF" w:rsidRPr="00AE5947" w:rsidRDefault="00BF73AA" w:rsidP="00AE5947">
      <w:pPr>
        <w:spacing w:line="480" w:lineRule="auto"/>
        <w:ind w:firstLine="720"/>
        <w:rPr>
          <w:rFonts w:ascii="Arial" w:hAnsi="Arial" w:cs="Arial"/>
          <w:sz w:val="24"/>
          <w:szCs w:val="24"/>
        </w:rPr>
      </w:pPr>
      <w:r w:rsidRPr="00AE5947">
        <w:rPr>
          <w:rFonts w:ascii="Arial" w:hAnsi="Arial" w:cs="Arial"/>
          <w:sz w:val="24"/>
          <w:szCs w:val="24"/>
        </w:rPr>
        <w:lastRenderedPageBreak/>
        <w:t xml:space="preserve">22-year-old Australians from the Western Australian Pregnancy Cohort Study </w:t>
      </w:r>
      <w:r w:rsidR="00CA6D17" w:rsidRPr="00AE5947">
        <w:rPr>
          <w:rFonts w:ascii="Arial" w:hAnsi="Arial" w:cs="Arial"/>
          <w:sz w:val="24"/>
          <w:szCs w:val="24"/>
        </w:rPr>
        <w:t>examined the effect of long working hours on blood cholesterol measurements</w:t>
      </w:r>
      <w:r w:rsidR="00760329" w:rsidRPr="00AE5947">
        <w:rPr>
          <w:rFonts w:ascii="Arial" w:hAnsi="Arial" w:cs="Arial"/>
          <w:sz w:val="24"/>
          <w:szCs w:val="24"/>
        </w:rPr>
        <w:t xml:space="preserve"> (Reynolds</w:t>
      </w:r>
      <w:r w:rsidR="00405C63">
        <w:rPr>
          <w:rFonts w:ascii="Arial" w:hAnsi="Arial" w:cs="Arial"/>
          <w:sz w:val="24"/>
          <w:szCs w:val="24"/>
        </w:rPr>
        <w:t xml:space="preserve"> et al.</w:t>
      </w:r>
      <w:r w:rsidR="004A7C0C">
        <w:rPr>
          <w:rFonts w:ascii="Arial" w:hAnsi="Arial" w:cs="Arial"/>
          <w:sz w:val="24"/>
          <w:szCs w:val="24"/>
        </w:rPr>
        <w:t>,</w:t>
      </w:r>
      <w:r w:rsidR="00760329" w:rsidRPr="00AE5947">
        <w:rPr>
          <w:rFonts w:ascii="Arial" w:hAnsi="Arial" w:cs="Arial"/>
          <w:sz w:val="24"/>
          <w:szCs w:val="24"/>
        </w:rPr>
        <w:t xml:space="preserve"> 2018). There were no significant results of TC or </w:t>
      </w:r>
      <w:r w:rsidR="00102B7A" w:rsidRPr="00AE5947">
        <w:rPr>
          <w:rFonts w:ascii="Arial" w:hAnsi="Arial" w:cs="Arial"/>
          <w:sz w:val="24"/>
          <w:szCs w:val="24"/>
        </w:rPr>
        <w:t xml:space="preserve">LDL-C, but </w:t>
      </w:r>
      <w:r w:rsidR="00E57463" w:rsidRPr="00AE5947">
        <w:rPr>
          <w:rFonts w:ascii="Arial" w:hAnsi="Arial" w:cs="Arial"/>
          <w:sz w:val="24"/>
          <w:szCs w:val="24"/>
        </w:rPr>
        <w:t>high-density lipoprotein cholesterol (HDL-C)</w:t>
      </w:r>
      <w:r w:rsidR="00102B7A" w:rsidRPr="00AE5947">
        <w:rPr>
          <w:rFonts w:ascii="Arial" w:hAnsi="Arial" w:cs="Arial"/>
          <w:sz w:val="24"/>
          <w:szCs w:val="24"/>
        </w:rPr>
        <w:t xml:space="preserve"> was lower in those working &gt;38 hours compared to those working </w:t>
      </w:r>
      <w:r w:rsidR="003823F4" w:rsidRPr="00AE5947">
        <w:rPr>
          <w:rFonts w:ascii="Arial" w:hAnsi="Arial" w:cs="Arial"/>
          <w:sz w:val="24"/>
          <w:szCs w:val="24"/>
        </w:rPr>
        <w:t>38 hours or less.</w:t>
      </w:r>
    </w:p>
    <w:p w14:paraId="73B42983" w14:textId="085FBCF6" w:rsidR="009629A2" w:rsidRPr="00AE5947" w:rsidRDefault="009629A2" w:rsidP="00AE5947">
      <w:pPr>
        <w:spacing w:line="480" w:lineRule="auto"/>
        <w:rPr>
          <w:rFonts w:ascii="Arial" w:hAnsi="Arial" w:cs="Arial"/>
          <w:b/>
          <w:bCs/>
          <w:sz w:val="24"/>
          <w:szCs w:val="24"/>
        </w:rPr>
      </w:pPr>
      <w:r w:rsidRPr="00AE5947">
        <w:rPr>
          <w:rFonts w:ascii="Arial" w:hAnsi="Arial" w:cs="Arial"/>
          <w:b/>
          <w:bCs/>
          <w:sz w:val="24"/>
          <w:szCs w:val="24"/>
        </w:rPr>
        <w:t>Gaps in the Literature</w:t>
      </w:r>
    </w:p>
    <w:p w14:paraId="500A31BE" w14:textId="506336E4" w:rsidR="009629A2" w:rsidRPr="00AE5947" w:rsidRDefault="00A520F7" w:rsidP="00AE5947">
      <w:pPr>
        <w:spacing w:line="480" w:lineRule="auto"/>
        <w:ind w:firstLine="720"/>
        <w:rPr>
          <w:rFonts w:ascii="Arial" w:hAnsi="Arial" w:cs="Arial"/>
          <w:sz w:val="24"/>
          <w:szCs w:val="24"/>
        </w:rPr>
      </w:pPr>
      <w:r w:rsidRPr="00AE5947">
        <w:rPr>
          <w:rFonts w:ascii="Arial" w:hAnsi="Arial" w:cs="Arial"/>
          <w:sz w:val="24"/>
          <w:szCs w:val="24"/>
        </w:rPr>
        <w:t xml:space="preserve">Most prior studies of long working hours </w:t>
      </w:r>
      <w:r w:rsidR="006D5310" w:rsidRPr="00AE5947">
        <w:rPr>
          <w:rFonts w:ascii="Arial" w:hAnsi="Arial" w:cs="Arial"/>
          <w:sz w:val="24"/>
          <w:szCs w:val="24"/>
        </w:rPr>
        <w:t xml:space="preserve">used CHD or stroke as the outcome rather than blood cholesterol measurements. Of the studies that did examine blood cholesterol they were either </w:t>
      </w:r>
      <w:r w:rsidR="0012272A" w:rsidRPr="00AE5947">
        <w:rPr>
          <w:rFonts w:ascii="Arial" w:hAnsi="Arial" w:cs="Arial"/>
          <w:sz w:val="24"/>
          <w:szCs w:val="24"/>
        </w:rPr>
        <w:t xml:space="preserve">not done in the United States, </w:t>
      </w:r>
      <w:r w:rsidR="00377324" w:rsidRPr="00AE5947">
        <w:rPr>
          <w:rFonts w:ascii="Arial" w:hAnsi="Arial" w:cs="Arial"/>
          <w:sz w:val="24"/>
          <w:szCs w:val="24"/>
        </w:rPr>
        <w:t xml:space="preserve">had very high cut points for defining long hours, </w:t>
      </w:r>
      <w:r w:rsidR="00F375C6" w:rsidRPr="00AE5947">
        <w:rPr>
          <w:rFonts w:ascii="Arial" w:hAnsi="Arial" w:cs="Arial"/>
          <w:sz w:val="24"/>
          <w:szCs w:val="24"/>
        </w:rPr>
        <w:t>or did not describe</w:t>
      </w:r>
      <w:r w:rsidR="00F462A7" w:rsidRPr="00AE5947">
        <w:rPr>
          <w:rFonts w:ascii="Arial" w:hAnsi="Arial" w:cs="Arial"/>
          <w:sz w:val="24"/>
          <w:szCs w:val="24"/>
        </w:rPr>
        <w:t xml:space="preserve"> comparisons in risk or odds.</w:t>
      </w:r>
    </w:p>
    <w:p w14:paraId="5BE0EFB9" w14:textId="5F597B8D" w:rsidR="009629A2" w:rsidRPr="00AE5947" w:rsidRDefault="009629A2" w:rsidP="00AE5947">
      <w:pPr>
        <w:spacing w:line="480" w:lineRule="auto"/>
        <w:rPr>
          <w:rFonts w:ascii="Arial" w:hAnsi="Arial" w:cs="Arial"/>
          <w:sz w:val="24"/>
          <w:szCs w:val="24"/>
        </w:rPr>
      </w:pPr>
    </w:p>
    <w:p w14:paraId="06E5A6EB" w14:textId="01742143" w:rsidR="009629A2" w:rsidRPr="00AE5947" w:rsidRDefault="009629A2" w:rsidP="00AE5947">
      <w:pPr>
        <w:spacing w:line="480" w:lineRule="auto"/>
        <w:rPr>
          <w:rFonts w:ascii="Arial" w:hAnsi="Arial" w:cs="Arial"/>
          <w:b/>
          <w:bCs/>
          <w:sz w:val="24"/>
          <w:szCs w:val="24"/>
        </w:rPr>
      </w:pPr>
      <w:r w:rsidRPr="00AE5947">
        <w:rPr>
          <w:rFonts w:ascii="Arial" w:hAnsi="Arial" w:cs="Arial"/>
          <w:b/>
          <w:bCs/>
          <w:sz w:val="24"/>
          <w:szCs w:val="24"/>
        </w:rPr>
        <w:t>Theoretical framework</w:t>
      </w:r>
    </w:p>
    <w:p w14:paraId="5F2CC814" w14:textId="0EDF3B84" w:rsidR="002C1363" w:rsidRPr="00AE5947" w:rsidRDefault="00B93D2A" w:rsidP="00AE5947">
      <w:pPr>
        <w:spacing w:line="480" w:lineRule="auto"/>
        <w:rPr>
          <w:rFonts w:ascii="Arial" w:hAnsi="Arial" w:cs="Arial"/>
          <w:b/>
          <w:bCs/>
          <w:sz w:val="24"/>
          <w:szCs w:val="24"/>
        </w:rPr>
      </w:pPr>
      <w:r w:rsidRPr="00AE5947">
        <w:rPr>
          <w:rFonts w:ascii="Arial" w:hAnsi="Arial" w:cs="Arial"/>
          <w:b/>
          <w:bCs/>
          <w:noProof/>
          <w:sz w:val="24"/>
          <w:szCs w:val="24"/>
        </w:rPr>
        <w:lastRenderedPageBreak/>
        <w:drawing>
          <wp:inline distT="0" distB="0" distL="0" distR="0" wp14:anchorId="24FAEC87" wp14:editId="0DC31639">
            <wp:extent cx="5382768" cy="4443984"/>
            <wp:effectExtent l="0" t="0" r="889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82768" cy="4443984"/>
                    </a:xfrm>
                    <a:prstGeom prst="rect">
                      <a:avLst/>
                    </a:prstGeom>
                  </pic:spPr>
                </pic:pic>
              </a:graphicData>
            </a:graphic>
          </wp:inline>
        </w:drawing>
      </w:r>
    </w:p>
    <w:p w14:paraId="4E1FEE0F" w14:textId="3814F386" w:rsidR="0022371F" w:rsidRPr="00AE5947" w:rsidRDefault="007108B1" w:rsidP="00AE5947">
      <w:pPr>
        <w:spacing w:line="480" w:lineRule="auto"/>
        <w:rPr>
          <w:rFonts w:ascii="Arial" w:hAnsi="Arial" w:cs="Arial"/>
          <w:sz w:val="24"/>
          <w:szCs w:val="24"/>
        </w:rPr>
      </w:pPr>
      <w:commentRangeStart w:id="8"/>
      <w:r w:rsidRPr="00AE5947">
        <w:rPr>
          <w:rFonts w:ascii="Arial" w:hAnsi="Arial" w:cs="Arial"/>
          <w:sz w:val="24"/>
          <w:szCs w:val="24"/>
        </w:rPr>
        <w:t>Note</w:t>
      </w:r>
      <w:commentRangeEnd w:id="8"/>
      <w:r w:rsidR="00987684">
        <w:rPr>
          <w:rStyle w:val="CommentReference"/>
        </w:rPr>
        <w:commentReference w:id="8"/>
      </w:r>
      <w:r w:rsidRPr="00AE5947">
        <w:rPr>
          <w:rFonts w:ascii="Arial" w:hAnsi="Arial" w:cs="Arial"/>
          <w:sz w:val="24"/>
          <w:szCs w:val="24"/>
        </w:rPr>
        <w:t xml:space="preserve">: I am considering simplifying </w:t>
      </w:r>
      <w:r w:rsidR="0058220C" w:rsidRPr="00AE5947">
        <w:rPr>
          <w:rFonts w:ascii="Arial" w:hAnsi="Arial" w:cs="Arial"/>
          <w:sz w:val="24"/>
          <w:szCs w:val="24"/>
        </w:rPr>
        <w:t xml:space="preserve">this model to make room for the other factors of working long hours </w:t>
      </w:r>
      <w:r w:rsidR="000D5459" w:rsidRPr="00AE5947">
        <w:rPr>
          <w:rFonts w:ascii="Arial" w:hAnsi="Arial" w:cs="Arial"/>
          <w:sz w:val="24"/>
          <w:szCs w:val="24"/>
        </w:rPr>
        <w:t xml:space="preserve">that were </w:t>
      </w:r>
      <w:r w:rsidR="0058220C" w:rsidRPr="00AE5947">
        <w:rPr>
          <w:rFonts w:ascii="Arial" w:hAnsi="Arial" w:cs="Arial"/>
          <w:sz w:val="24"/>
          <w:szCs w:val="24"/>
        </w:rPr>
        <w:t>discussed in the last paragraph of the exposure epidemiology section (</w:t>
      </w:r>
      <w:r w:rsidR="003A21F4" w:rsidRPr="00AE5947">
        <w:rPr>
          <w:rFonts w:ascii="Arial" w:hAnsi="Arial" w:cs="Arial"/>
          <w:sz w:val="24"/>
          <w:szCs w:val="24"/>
        </w:rPr>
        <w:t xml:space="preserve">lack of exercise and sleep, poor diet). </w:t>
      </w:r>
      <w:r w:rsidR="00846533" w:rsidRPr="00AE5947">
        <w:rPr>
          <w:rFonts w:ascii="Arial" w:hAnsi="Arial" w:cs="Arial"/>
          <w:sz w:val="24"/>
          <w:szCs w:val="24"/>
        </w:rPr>
        <w:t xml:space="preserve">These factors would connect </w:t>
      </w:r>
      <w:r w:rsidR="00846533" w:rsidRPr="00AE5947">
        <w:rPr>
          <w:rFonts w:ascii="Arial" w:hAnsi="Arial" w:cs="Arial"/>
          <w:i/>
          <w:iCs/>
          <w:sz w:val="24"/>
          <w:szCs w:val="24"/>
        </w:rPr>
        <w:t xml:space="preserve">working hours </w:t>
      </w:r>
      <w:r w:rsidR="00846533" w:rsidRPr="00AE5947">
        <w:rPr>
          <w:rFonts w:ascii="Arial" w:hAnsi="Arial" w:cs="Arial"/>
          <w:sz w:val="24"/>
          <w:szCs w:val="24"/>
        </w:rPr>
        <w:t xml:space="preserve">with </w:t>
      </w:r>
      <w:r w:rsidR="00846533" w:rsidRPr="00AE5947">
        <w:rPr>
          <w:rFonts w:ascii="Arial" w:hAnsi="Arial" w:cs="Arial"/>
          <w:i/>
          <w:iCs/>
          <w:sz w:val="24"/>
          <w:szCs w:val="24"/>
        </w:rPr>
        <w:t>pathophysiological effects</w:t>
      </w:r>
      <w:r w:rsidR="00846533" w:rsidRPr="00AE5947">
        <w:rPr>
          <w:rFonts w:ascii="Arial" w:hAnsi="Arial" w:cs="Arial"/>
          <w:sz w:val="24"/>
          <w:szCs w:val="24"/>
        </w:rPr>
        <w:t xml:space="preserve">. </w:t>
      </w:r>
      <w:r w:rsidR="003A21F4" w:rsidRPr="00AE5947">
        <w:rPr>
          <w:rFonts w:ascii="Arial" w:hAnsi="Arial" w:cs="Arial"/>
          <w:sz w:val="24"/>
          <w:szCs w:val="24"/>
        </w:rPr>
        <w:t xml:space="preserve">This would be done by removing </w:t>
      </w:r>
      <w:r w:rsidR="003A21F4" w:rsidRPr="00AE5947">
        <w:rPr>
          <w:rFonts w:ascii="Arial" w:hAnsi="Arial" w:cs="Arial"/>
          <w:i/>
          <w:iCs/>
          <w:sz w:val="24"/>
          <w:szCs w:val="24"/>
        </w:rPr>
        <w:t>job demands</w:t>
      </w:r>
      <w:r w:rsidR="003A21F4" w:rsidRPr="00AE5947">
        <w:rPr>
          <w:rFonts w:ascii="Arial" w:hAnsi="Arial" w:cs="Arial"/>
          <w:sz w:val="24"/>
          <w:szCs w:val="24"/>
        </w:rPr>
        <w:t xml:space="preserve"> and </w:t>
      </w:r>
      <w:r w:rsidR="00A9377C" w:rsidRPr="00AE5947">
        <w:rPr>
          <w:rFonts w:ascii="Arial" w:hAnsi="Arial" w:cs="Arial"/>
          <w:i/>
          <w:iCs/>
          <w:sz w:val="24"/>
          <w:szCs w:val="24"/>
        </w:rPr>
        <w:t>job</w:t>
      </w:r>
      <w:r w:rsidR="00A9377C" w:rsidRPr="00AE5947">
        <w:rPr>
          <w:rFonts w:ascii="Arial" w:hAnsi="Arial" w:cs="Arial"/>
          <w:sz w:val="24"/>
          <w:szCs w:val="24"/>
        </w:rPr>
        <w:t xml:space="preserve"> </w:t>
      </w:r>
      <w:r w:rsidR="003A21F4" w:rsidRPr="00AE5947">
        <w:rPr>
          <w:rFonts w:ascii="Arial" w:hAnsi="Arial" w:cs="Arial"/>
          <w:i/>
          <w:iCs/>
          <w:sz w:val="24"/>
          <w:szCs w:val="24"/>
        </w:rPr>
        <w:t>decision latitude</w:t>
      </w:r>
      <w:r w:rsidR="00BF1021" w:rsidRPr="00AE5947">
        <w:rPr>
          <w:rFonts w:ascii="Arial" w:hAnsi="Arial" w:cs="Arial"/>
          <w:sz w:val="24"/>
          <w:szCs w:val="24"/>
        </w:rPr>
        <w:t xml:space="preserve"> so that there is a direct arrow to </w:t>
      </w:r>
      <w:r w:rsidR="00BF1021" w:rsidRPr="00AE5947">
        <w:rPr>
          <w:rFonts w:ascii="Arial" w:hAnsi="Arial" w:cs="Arial"/>
          <w:i/>
          <w:iCs/>
          <w:sz w:val="24"/>
          <w:szCs w:val="24"/>
        </w:rPr>
        <w:t xml:space="preserve">psychological </w:t>
      </w:r>
      <w:proofErr w:type="gramStart"/>
      <w:r w:rsidR="00BF1021" w:rsidRPr="00AE5947">
        <w:rPr>
          <w:rFonts w:ascii="Arial" w:hAnsi="Arial" w:cs="Arial"/>
          <w:i/>
          <w:iCs/>
          <w:sz w:val="24"/>
          <w:szCs w:val="24"/>
        </w:rPr>
        <w:t>distress</w:t>
      </w:r>
      <w:r w:rsidR="00BF1021" w:rsidRPr="00AE5947">
        <w:rPr>
          <w:rFonts w:ascii="Arial" w:hAnsi="Arial" w:cs="Arial"/>
          <w:sz w:val="24"/>
          <w:szCs w:val="24"/>
        </w:rPr>
        <w:t xml:space="preserve">, </w:t>
      </w:r>
      <w:r w:rsidR="00B641D6" w:rsidRPr="00AE5947">
        <w:rPr>
          <w:rFonts w:ascii="Arial" w:hAnsi="Arial" w:cs="Arial"/>
          <w:sz w:val="24"/>
          <w:szCs w:val="24"/>
        </w:rPr>
        <w:t>and</w:t>
      </w:r>
      <w:proofErr w:type="gramEnd"/>
      <w:r w:rsidR="00B641D6" w:rsidRPr="00AE5947">
        <w:rPr>
          <w:rFonts w:ascii="Arial" w:hAnsi="Arial" w:cs="Arial"/>
          <w:sz w:val="24"/>
          <w:szCs w:val="24"/>
        </w:rPr>
        <w:t xml:space="preserve"> </w:t>
      </w:r>
      <w:r w:rsidR="00BF1021" w:rsidRPr="00AE5947">
        <w:rPr>
          <w:rFonts w:ascii="Arial" w:hAnsi="Arial" w:cs="Arial"/>
          <w:sz w:val="24"/>
          <w:szCs w:val="24"/>
        </w:rPr>
        <w:t>preserving the 1 and 2 citations.</w:t>
      </w:r>
      <w:r w:rsidR="00A9377C" w:rsidRPr="00AE5947">
        <w:rPr>
          <w:rFonts w:ascii="Arial" w:hAnsi="Arial" w:cs="Arial"/>
          <w:sz w:val="24"/>
          <w:szCs w:val="24"/>
        </w:rPr>
        <w:t xml:space="preserve"> I would also remove </w:t>
      </w:r>
      <w:r w:rsidR="00A9377C" w:rsidRPr="00AE5947">
        <w:rPr>
          <w:rFonts w:ascii="Arial" w:hAnsi="Arial" w:cs="Arial"/>
          <w:i/>
          <w:iCs/>
          <w:sz w:val="24"/>
          <w:szCs w:val="24"/>
        </w:rPr>
        <w:t>stress response</w:t>
      </w:r>
      <w:r w:rsidR="00A9377C" w:rsidRPr="00AE5947">
        <w:rPr>
          <w:rFonts w:ascii="Arial" w:hAnsi="Arial" w:cs="Arial"/>
          <w:sz w:val="24"/>
          <w:szCs w:val="24"/>
        </w:rPr>
        <w:t xml:space="preserve"> and have a direct arrow from </w:t>
      </w:r>
      <w:r w:rsidR="00A9377C" w:rsidRPr="00AE5947">
        <w:rPr>
          <w:rFonts w:ascii="Arial" w:hAnsi="Arial" w:cs="Arial"/>
          <w:i/>
          <w:iCs/>
          <w:sz w:val="24"/>
          <w:szCs w:val="24"/>
        </w:rPr>
        <w:t>psychological distress</w:t>
      </w:r>
      <w:r w:rsidR="00A9377C" w:rsidRPr="00AE5947">
        <w:rPr>
          <w:rFonts w:ascii="Arial" w:hAnsi="Arial" w:cs="Arial"/>
          <w:sz w:val="24"/>
          <w:szCs w:val="24"/>
        </w:rPr>
        <w:t xml:space="preserve"> to </w:t>
      </w:r>
      <w:r w:rsidR="00A9377C" w:rsidRPr="00AE5947">
        <w:rPr>
          <w:rFonts w:ascii="Arial" w:hAnsi="Arial" w:cs="Arial"/>
          <w:i/>
          <w:iCs/>
          <w:sz w:val="24"/>
          <w:szCs w:val="24"/>
        </w:rPr>
        <w:t>pathophysiological effects</w:t>
      </w:r>
      <w:r w:rsidR="00A9377C" w:rsidRPr="00AE5947">
        <w:rPr>
          <w:rFonts w:ascii="Arial" w:hAnsi="Arial" w:cs="Arial"/>
          <w:sz w:val="24"/>
          <w:szCs w:val="24"/>
        </w:rPr>
        <w:t>.</w:t>
      </w:r>
      <w:r w:rsidR="0089385C" w:rsidRPr="00AE5947">
        <w:rPr>
          <w:rFonts w:ascii="Arial" w:hAnsi="Arial" w:cs="Arial"/>
          <w:sz w:val="24"/>
          <w:szCs w:val="24"/>
        </w:rPr>
        <w:t xml:space="preserve"> A description of the model will</w:t>
      </w:r>
      <w:r w:rsidR="004E6B60" w:rsidRPr="00AE5947">
        <w:rPr>
          <w:rFonts w:ascii="Arial" w:hAnsi="Arial" w:cs="Arial"/>
          <w:sz w:val="24"/>
          <w:szCs w:val="24"/>
        </w:rPr>
        <w:t xml:space="preserve"> be added after the changes to this model are finalized.</w:t>
      </w:r>
    </w:p>
    <w:p w14:paraId="20A3F322" w14:textId="2FC2EE90" w:rsidR="009629A2" w:rsidRPr="00AE5947" w:rsidRDefault="009629A2" w:rsidP="00AE5947">
      <w:pPr>
        <w:spacing w:line="480" w:lineRule="auto"/>
        <w:rPr>
          <w:rFonts w:ascii="Arial" w:hAnsi="Arial" w:cs="Arial"/>
          <w:sz w:val="24"/>
          <w:szCs w:val="24"/>
        </w:rPr>
      </w:pPr>
    </w:p>
    <w:p w14:paraId="0D7B99F7" w14:textId="6F7A2C52" w:rsidR="009629A2" w:rsidRPr="00AE5947" w:rsidRDefault="009629A2" w:rsidP="00AE5947">
      <w:pPr>
        <w:spacing w:line="480" w:lineRule="auto"/>
        <w:rPr>
          <w:rFonts w:ascii="Arial" w:hAnsi="Arial" w:cs="Arial"/>
          <w:b/>
          <w:bCs/>
          <w:sz w:val="24"/>
          <w:szCs w:val="24"/>
        </w:rPr>
      </w:pPr>
      <w:commentRangeStart w:id="9"/>
      <w:r w:rsidRPr="00AE5947">
        <w:rPr>
          <w:rFonts w:ascii="Arial" w:hAnsi="Arial" w:cs="Arial"/>
          <w:b/>
          <w:bCs/>
          <w:sz w:val="24"/>
          <w:szCs w:val="24"/>
        </w:rPr>
        <w:lastRenderedPageBreak/>
        <w:t>Summary</w:t>
      </w:r>
      <w:commentRangeEnd w:id="9"/>
      <w:r w:rsidR="0062029C">
        <w:rPr>
          <w:rStyle w:val="CommentReference"/>
        </w:rPr>
        <w:commentReference w:id="9"/>
      </w:r>
    </w:p>
    <w:p w14:paraId="391D813B" w14:textId="6C33FE0A" w:rsidR="006B43AE" w:rsidRPr="00AE5947" w:rsidRDefault="00362052" w:rsidP="00AE5947">
      <w:pPr>
        <w:spacing w:line="480" w:lineRule="auto"/>
        <w:ind w:firstLine="720"/>
        <w:rPr>
          <w:rFonts w:ascii="Arial" w:hAnsi="Arial" w:cs="Arial"/>
          <w:sz w:val="24"/>
          <w:szCs w:val="24"/>
        </w:rPr>
      </w:pPr>
      <w:r w:rsidRPr="00AE5947">
        <w:rPr>
          <w:rFonts w:ascii="Arial" w:hAnsi="Arial" w:cs="Arial"/>
          <w:sz w:val="24"/>
          <w:szCs w:val="24"/>
        </w:rPr>
        <w:t>U.S. adults</w:t>
      </w:r>
      <w:r w:rsidR="005808D6" w:rsidRPr="00AE5947">
        <w:rPr>
          <w:rFonts w:ascii="Arial" w:hAnsi="Arial" w:cs="Arial"/>
          <w:sz w:val="24"/>
          <w:szCs w:val="24"/>
        </w:rPr>
        <w:t xml:space="preserve"> spend an average of 8.78 hours per workday on work-related activities, exceeding the standardized 40-hour workweek and reducing available time for </w:t>
      </w:r>
      <w:r w:rsidR="00EE2434" w:rsidRPr="00AE5947">
        <w:rPr>
          <w:rFonts w:ascii="Arial" w:hAnsi="Arial" w:cs="Arial"/>
          <w:sz w:val="24"/>
          <w:szCs w:val="24"/>
        </w:rPr>
        <w:t>healthy behaviors such as sleep and exercise</w:t>
      </w:r>
      <w:r w:rsidR="00965493" w:rsidRPr="00AE5947">
        <w:rPr>
          <w:rFonts w:ascii="Arial" w:hAnsi="Arial" w:cs="Arial"/>
          <w:sz w:val="24"/>
          <w:szCs w:val="24"/>
        </w:rPr>
        <w:t xml:space="preserve">, and increasing exposure to job-related stress. </w:t>
      </w:r>
      <w:r w:rsidRPr="00AE5947">
        <w:rPr>
          <w:rFonts w:ascii="Arial" w:hAnsi="Arial" w:cs="Arial"/>
          <w:sz w:val="24"/>
          <w:szCs w:val="24"/>
        </w:rPr>
        <w:t>During 2013-2016 U.S. adults had a mean TC of 190.</w:t>
      </w:r>
      <w:r w:rsidR="008E04E5" w:rsidRPr="00AE5947">
        <w:rPr>
          <w:rFonts w:ascii="Arial" w:hAnsi="Arial" w:cs="Arial"/>
          <w:sz w:val="24"/>
          <w:szCs w:val="24"/>
        </w:rPr>
        <w:t>6</w:t>
      </w:r>
      <w:r w:rsidRPr="00AE5947">
        <w:rPr>
          <w:rFonts w:ascii="Arial" w:hAnsi="Arial" w:cs="Arial"/>
          <w:sz w:val="24"/>
          <w:szCs w:val="24"/>
        </w:rPr>
        <w:t xml:space="preserve"> mg/dL</w:t>
      </w:r>
      <w:r w:rsidR="00AA79D4" w:rsidRPr="00AE5947">
        <w:rPr>
          <w:rFonts w:ascii="Arial" w:hAnsi="Arial" w:cs="Arial"/>
          <w:sz w:val="24"/>
          <w:szCs w:val="24"/>
        </w:rPr>
        <w:t>, which is above the Healthy People 2020 goal of 177.9 mg/dL.</w:t>
      </w:r>
      <w:r w:rsidR="00D7664A" w:rsidRPr="00AE5947">
        <w:rPr>
          <w:rFonts w:ascii="Arial" w:hAnsi="Arial" w:cs="Arial"/>
          <w:sz w:val="24"/>
          <w:szCs w:val="24"/>
        </w:rPr>
        <w:t xml:space="preserve"> 9</w:t>
      </w:r>
      <w:r w:rsidR="00106254" w:rsidRPr="00AE5947">
        <w:rPr>
          <w:rFonts w:ascii="Arial" w:hAnsi="Arial" w:cs="Arial"/>
          <w:sz w:val="24"/>
          <w:szCs w:val="24"/>
        </w:rPr>
        <w:t>3</w:t>
      </w:r>
      <w:r w:rsidR="00D7664A" w:rsidRPr="00AE5947">
        <w:rPr>
          <w:rFonts w:ascii="Arial" w:hAnsi="Arial" w:cs="Arial"/>
          <w:sz w:val="24"/>
          <w:szCs w:val="24"/>
        </w:rPr>
        <w:t>.</w:t>
      </w:r>
      <w:r w:rsidR="00106254" w:rsidRPr="00AE5947">
        <w:rPr>
          <w:rFonts w:ascii="Arial" w:hAnsi="Arial" w:cs="Arial"/>
          <w:sz w:val="24"/>
          <w:szCs w:val="24"/>
        </w:rPr>
        <w:t>9</w:t>
      </w:r>
      <w:r w:rsidR="00D7664A" w:rsidRPr="00AE5947">
        <w:rPr>
          <w:rFonts w:ascii="Arial" w:hAnsi="Arial" w:cs="Arial"/>
          <w:sz w:val="24"/>
          <w:szCs w:val="24"/>
        </w:rPr>
        <w:t xml:space="preserve"> million adults (38.</w:t>
      </w:r>
      <w:r w:rsidR="00106254" w:rsidRPr="00AE5947">
        <w:rPr>
          <w:rFonts w:ascii="Arial" w:hAnsi="Arial" w:cs="Arial"/>
          <w:sz w:val="24"/>
          <w:szCs w:val="24"/>
        </w:rPr>
        <w:t>1</w:t>
      </w:r>
      <w:r w:rsidR="00D7664A" w:rsidRPr="00AE5947">
        <w:rPr>
          <w:rFonts w:ascii="Arial" w:hAnsi="Arial" w:cs="Arial"/>
          <w:sz w:val="24"/>
          <w:szCs w:val="24"/>
        </w:rPr>
        <w:t xml:space="preserve">%) had </w:t>
      </w:r>
      <w:r w:rsidR="00181307" w:rsidRPr="00AE5947">
        <w:rPr>
          <w:rFonts w:ascii="Arial" w:hAnsi="Arial" w:cs="Arial"/>
          <w:sz w:val="24"/>
          <w:szCs w:val="24"/>
        </w:rPr>
        <w:t>a TC of 200 mg/dL or greater. 28 million adults (11.</w:t>
      </w:r>
      <w:r w:rsidR="00802AA2" w:rsidRPr="00AE5947">
        <w:rPr>
          <w:rFonts w:ascii="Arial" w:hAnsi="Arial" w:cs="Arial"/>
          <w:sz w:val="24"/>
          <w:szCs w:val="24"/>
        </w:rPr>
        <w:t>5</w:t>
      </w:r>
      <w:r w:rsidR="00181307" w:rsidRPr="00AE5947">
        <w:rPr>
          <w:rFonts w:ascii="Arial" w:hAnsi="Arial" w:cs="Arial"/>
          <w:sz w:val="24"/>
          <w:szCs w:val="24"/>
        </w:rPr>
        <w:t>%) had a TC of 240 mg/dL or greater.</w:t>
      </w:r>
      <w:r w:rsidR="00A6016D" w:rsidRPr="00AE5947">
        <w:rPr>
          <w:rFonts w:ascii="Arial" w:hAnsi="Arial" w:cs="Arial"/>
          <w:sz w:val="24"/>
          <w:szCs w:val="24"/>
        </w:rPr>
        <w:t xml:space="preserve"> </w:t>
      </w:r>
      <w:r w:rsidR="00802AA2" w:rsidRPr="00AE5947">
        <w:rPr>
          <w:rFonts w:ascii="Arial" w:hAnsi="Arial" w:cs="Arial"/>
          <w:sz w:val="24"/>
          <w:szCs w:val="24"/>
        </w:rPr>
        <w:t>High cholesterol</w:t>
      </w:r>
      <w:r w:rsidR="00AA79D4" w:rsidRPr="00AE5947">
        <w:rPr>
          <w:rFonts w:ascii="Arial" w:hAnsi="Arial" w:cs="Arial"/>
          <w:sz w:val="24"/>
          <w:szCs w:val="24"/>
        </w:rPr>
        <w:t xml:space="preserve"> is estimated to burden the U.S. wi</w:t>
      </w:r>
      <w:r w:rsidR="004D60F8" w:rsidRPr="00AE5947">
        <w:rPr>
          <w:rFonts w:ascii="Arial" w:hAnsi="Arial" w:cs="Arial"/>
          <w:sz w:val="24"/>
          <w:szCs w:val="24"/>
        </w:rPr>
        <w:t>th a cost between $18.5 million and $77 million</w:t>
      </w:r>
      <w:r w:rsidR="00802AA2" w:rsidRPr="00AE5947">
        <w:rPr>
          <w:rFonts w:ascii="Arial" w:hAnsi="Arial" w:cs="Arial"/>
          <w:sz w:val="24"/>
          <w:szCs w:val="24"/>
        </w:rPr>
        <w:t xml:space="preserve"> each year</w:t>
      </w:r>
      <w:r w:rsidR="004D60F8" w:rsidRPr="00AE5947">
        <w:rPr>
          <w:rFonts w:ascii="Arial" w:hAnsi="Arial" w:cs="Arial"/>
          <w:sz w:val="24"/>
          <w:szCs w:val="24"/>
        </w:rPr>
        <w:t xml:space="preserve">. CVD, </w:t>
      </w:r>
      <w:r w:rsidR="00CA1897" w:rsidRPr="00AE5947">
        <w:rPr>
          <w:rFonts w:ascii="Arial" w:hAnsi="Arial" w:cs="Arial"/>
          <w:sz w:val="24"/>
          <w:szCs w:val="24"/>
        </w:rPr>
        <w:t xml:space="preserve">a result of </w:t>
      </w:r>
      <w:r w:rsidR="00802AA2" w:rsidRPr="00AE5947">
        <w:rPr>
          <w:rFonts w:ascii="Arial" w:hAnsi="Arial" w:cs="Arial"/>
          <w:sz w:val="24"/>
          <w:szCs w:val="24"/>
        </w:rPr>
        <w:t>having high cholesterol</w:t>
      </w:r>
      <w:r w:rsidR="00CA1897" w:rsidRPr="00AE5947">
        <w:rPr>
          <w:rFonts w:ascii="Arial" w:hAnsi="Arial" w:cs="Arial"/>
          <w:sz w:val="24"/>
          <w:szCs w:val="24"/>
        </w:rPr>
        <w:t xml:space="preserve">, is estimated to cost the U.S. </w:t>
      </w:r>
      <w:r w:rsidR="00D22277" w:rsidRPr="00AE5947">
        <w:rPr>
          <w:rFonts w:ascii="Arial" w:hAnsi="Arial" w:cs="Arial"/>
          <w:sz w:val="24"/>
          <w:szCs w:val="24"/>
        </w:rPr>
        <w:t>$219 billion dollars.</w:t>
      </w:r>
    </w:p>
    <w:p w14:paraId="671E7C17" w14:textId="75F40E70" w:rsidR="00E971A9" w:rsidRPr="00AE5947" w:rsidRDefault="000A2028" w:rsidP="00AE5947">
      <w:pPr>
        <w:spacing w:line="480" w:lineRule="auto"/>
        <w:ind w:firstLine="720"/>
        <w:rPr>
          <w:rFonts w:ascii="Arial" w:hAnsi="Arial" w:cs="Arial"/>
          <w:sz w:val="24"/>
          <w:szCs w:val="24"/>
        </w:rPr>
      </w:pPr>
      <w:r w:rsidRPr="00AE5947">
        <w:rPr>
          <w:rFonts w:ascii="Arial" w:hAnsi="Arial" w:cs="Arial"/>
          <w:sz w:val="24"/>
          <w:szCs w:val="24"/>
        </w:rPr>
        <w:t xml:space="preserve">Prior research has examined long working hours and its association with blood cholesterol levels but </w:t>
      </w:r>
      <w:r w:rsidR="006F2D81" w:rsidRPr="00AE5947">
        <w:rPr>
          <w:rFonts w:ascii="Arial" w:hAnsi="Arial" w:cs="Arial"/>
          <w:sz w:val="24"/>
          <w:szCs w:val="24"/>
        </w:rPr>
        <w:t>they either studied populations outside of the U.S.</w:t>
      </w:r>
      <w:r w:rsidR="006D4632" w:rsidRPr="00AE5947">
        <w:rPr>
          <w:rFonts w:ascii="Arial" w:hAnsi="Arial" w:cs="Arial"/>
          <w:sz w:val="24"/>
          <w:szCs w:val="24"/>
        </w:rPr>
        <w:t xml:space="preserve"> or</w:t>
      </w:r>
      <w:r w:rsidR="006F2D81" w:rsidRPr="00AE5947">
        <w:rPr>
          <w:rFonts w:ascii="Arial" w:hAnsi="Arial" w:cs="Arial"/>
          <w:sz w:val="24"/>
          <w:szCs w:val="24"/>
        </w:rPr>
        <w:t xml:space="preserve"> had very high cut points for working hours</w:t>
      </w:r>
      <w:r w:rsidR="006D4632" w:rsidRPr="00AE5947">
        <w:rPr>
          <w:rFonts w:ascii="Arial" w:hAnsi="Arial" w:cs="Arial"/>
          <w:sz w:val="24"/>
          <w:szCs w:val="24"/>
        </w:rPr>
        <w:t>.</w:t>
      </w:r>
      <w:r w:rsidR="002E3164" w:rsidRPr="00AE5947">
        <w:rPr>
          <w:rFonts w:ascii="Arial" w:hAnsi="Arial" w:cs="Arial"/>
          <w:sz w:val="24"/>
          <w:szCs w:val="24"/>
        </w:rPr>
        <w:t xml:space="preserve"> </w:t>
      </w:r>
      <w:r w:rsidR="002F7BD3" w:rsidRPr="00AE5947">
        <w:rPr>
          <w:rFonts w:ascii="Arial" w:hAnsi="Arial" w:cs="Arial"/>
          <w:sz w:val="24"/>
          <w:szCs w:val="24"/>
        </w:rPr>
        <w:t xml:space="preserve">This analysis is unique in that it </w:t>
      </w:r>
      <w:r w:rsidR="009D3C58" w:rsidRPr="00AE5947">
        <w:rPr>
          <w:rFonts w:ascii="Arial" w:hAnsi="Arial" w:cs="Arial"/>
          <w:sz w:val="24"/>
          <w:szCs w:val="24"/>
        </w:rPr>
        <w:t xml:space="preserve">studies a random selection of U.S. adults and lowers the cut points </w:t>
      </w:r>
      <w:r w:rsidR="00734314" w:rsidRPr="00AE5947">
        <w:rPr>
          <w:rFonts w:ascii="Arial" w:hAnsi="Arial" w:cs="Arial"/>
          <w:sz w:val="24"/>
          <w:szCs w:val="24"/>
        </w:rPr>
        <w:t xml:space="preserve">in order to produce results more closely related to the general U.S. </w:t>
      </w:r>
      <w:r w:rsidR="007257E0">
        <w:rPr>
          <w:rFonts w:ascii="Arial" w:hAnsi="Arial" w:cs="Arial"/>
          <w:sz w:val="24"/>
          <w:szCs w:val="24"/>
        </w:rPr>
        <w:t>workforce</w:t>
      </w:r>
      <w:r w:rsidR="00734314" w:rsidRPr="00AE5947">
        <w:rPr>
          <w:rFonts w:ascii="Arial" w:hAnsi="Arial" w:cs="Arial"/>
          <w:sz w:val="24"/>
          <w:szCs w:val="24"/>
        </w:rPr>
        <w:t>.</w:t>
      </w:r>
      <w:r w:rsidR="00F45DEA" w:rsidRPr="00AE5947">
        <w:rPr>
          <w:rFonts w:ascii="Arial" w:hAnsi="Arial" w:cs="Arial"/>
          <w:sz w:val="24"/>
          <w:szCs w:val="24"/>
        </w:rPr>
        <w:t xml:space="preserve"> </w:t>
      </w:r>
    </w:p>
    <w:p w14:paraId="0EED4EC6" w14:textId="14D1CD44" w:rsidR="009629A2" w:rsidRPr="00AE5947" w:rsidRDefault="009629A2" w:rsidP="00AE5947">
      <w:pPr>
        <w:spacing w:line="480" w:lineRule="auto"/>
        <w:rPr>
          <w:rFonts w:ascii="Arial" w:hAnsi="Arial" w:cs="Arial"/>
          <w:b/>
          <w:bCs/>
          <w:sz w:val="24"/>
          <w:szCs w:val="24"/>
        </w:rPr>
      </w:pPr>
      <w:r w:rsidRPr="00AE5947">
        <w:rPr>
          <w:rFonts w:ascii="Arial" w:hAnsi="Arial" w:cs="Arial"/>
          <w:b/>
          <w:bCs/>
          <w:sz w:val="24"/>
          <w:szCs w:val="24"/>
        </w:rPr>
        <w:t xml:space="preserve">Research </w:t>
      </w:r>
      <w:r w:rsidR="00222B46" w:rsidRPr="00AE5947">
        <w:rPr>
          <w:rFonts w:ascii="Arial" w:hAnsi="Arial" w:cs="Arial"/>
          <w:b/>
          <w:bCs/>
          <w:sz w:val="24"/>
          <w:szCs w:val="24"/>
        </w:rPr>
        <w:t>q</w:t>
      </w:r>
      <w:r w:rsidRPr="00AE5947">
        <w:rPr>
          <w:rFonts w:ascii="Arial" w:hAnsi="Arial" w:cs="Arial"/>
          <w:b/>
          <w:bCs/>
          <w:sz w:val="24"/>
          <w:szCs w:val="24"/>
        </w:rPr>
        <w:t>uestion</w:t>
      </w:r>
    </w:p>
    <w:p w14:paraId="4A0CAA79" w14:textId="33EDB16E" w:rsidR="009629A2" w:rsidRPr="00AE5947" w:rsidRDefault="00B45478" w:rsidP="00477CCE">
      <w:pPr>
        <w:spacing w:line="480" w:lineRule="auto"/>
        <w:ind w:firstLine="720"/>
        <w:rPr>
          <w:rFonts w:ascii="Arial" w:hAnsi="Arial" w:cs="Arial"/>
          <w:sz w:val="24"/>
          <w:szCs w:val="24"/>
        </w:rPr>
      </w:pPr>
      <w:r w:rsidRPr="00AE5947">
        <w:rPr>
          <w:rFonts w:ascii="Arial" w:hAnsi="Arial" w:cs="Arial"/>
          <w:sz w:val="24"/>
          <w:szCs w:val="24"/>
        </w:rPr>
        <w:t xml:space="preserve">Is greater number of hours worked in the prior week associated with </w:t>
      </w:r>
      <w:r w:rsidR="00046644">
        <w:rPr>
          <w:rFonts w:ascii="Arial" w:hAnsi="Arial" w:cs="Arial"/>
          <w:sz w:val="24"/>
          <w:szCs w:val="24"/>
        </w:rPr>
        <w:t>subsequent high</w:t>
      </w:r>
      <w:r w:rsidR="00190B28" w:rsidRPr="00AE5947">
        <w:rPr>
          <w:rFonts w:ascii="Arial" w:hAnsi="Arial" w:cs="Arial"/>
          <w:sz w:val="24"/>
          <w:szCs w:val="24"/>
        </w:rPr>
        <w:t xml:space="preserve"> total</w:t>
      </w:r>
      <w:r w:rsidR="009A624F" w:rsidRPr="00AE5947">
        <w:rPr>
          <w:rFonts w:ascii="Arial" w:hAnsi="Arial" w:cs="Arial"/>
          <w:sz w:val="24"/>
          <w:szCs w:val="24"/>
        </w:rPr>
        <w:t xml:space="preserve"> blood</w:t>
      </w:r>
      <w:r w:rsidRPr="00AE5947">
        <w:rPr>
          <w:rFonts w:ascii="Arial" w:hAnsi="Arial" w:cs="Arial"/>
          <w:sz w:val="24"/>
          <w:szCs w:val="24"/>
        </w:rPr>
        <w:t xml:space="preserve"> cholesterol</w:t>
      </w:r>
      <w:r w:rsidR="009A624F" w:rsidRPr="00AE5947">
        <w:rPr>
          <w:rFonts w:ascii="Arial" w:hAnsi="Arial" w:cs="Arial"/>
          <w:sz w:val="24"/>
          <w:szCs w:val="24"/>
        </w:rPr>
        <w:t xml:space="preserve"> </w:t>
      </w:r>
      <w:r w:rsidRPr="00AE5947">
        <w:rPr>
          <w:rFonts w:ascii="Arial" w:hAnsi="Arial" w:cs="Arial"/>
          <w:sz w:val="24"/>
          <w:szCs w:val="24"/>
        </w:rPr>
        <w:t xml:space="preserve">among </w:t>
      </w:r>
      <w:r w:rsidR="00A13D77">
        <w:rPr>
          <w:rFonts w:ascii="Arial" w:hAnsi="Arial" w:cs="Arial"/>
          <w:sz w:val="24"/>
          <w:szCs w:val="24"/>
        </w:rPr>
        <w:t>adults aged</w:t>
      </w:r>
      <w:r w:rsidRPr="00AE5947">
        <w:rPr>
          <w:rFonts w:ascii="Arial" w:hAnsi="Arial" w:cs="Arial"/>
          <w:sz w:val="24"/>
          <w:szCs w:val="24"/>
        </w:rPr>
        <w:t xml:space="preserve"> 1</w:t>
      </w:r>
      <w:r w:rsidR="003F790C">
        <w:rPr>
          <w:rFonts w:ascii="Arial" w:hAnsi="Arial" w:cs="Arial"/>
          <w:sz w:val="24"/>
          <w:szCs w:val="24"/>
        </w:rPr>
        <w:t>8</w:t>
      </w:r>
      <w:r w:rsidRPr="00AE5947">
        <w:rPr>
          <w:rFonts w:ascii="Arial" w:hAnsi="Arial" w:cs="Arial"/>
          <w:sz w:val="24"/>
          <w:szCs w:val="24"/>
        </w:rPr>
        <w:t xml:space="preserve">-80 </w:t>
      </w:r>
      <w:r w:rsidR="00A13D77">
        <w:rPr>
          <w:rFonts w:ascii="Arial" w:hAnsi="Arial" w:cs="Arial"/>
          <w:sz w:val="24"/>
          <w:szCs w:val="24"/>
        </w:rPr>
        <w:t>in the United States, using</w:t>
      </w:r>
      <w:r w:rsidRPr="00AE5947">
        <w:rPr>
          <w:rFonts w:ascii="Arial" w:hAnsi="Arial" w:cs="Arial"/>
          <w:sz w:val="24"/>
          <w:szCs w:val="24"/>
        </w:rPr>
        <w:t xml:space="preserve"> NHANES 2017-2018 participant</w:t>
      </w:r>
      <w:r w:rsidR="00DA1954">
        <w:rPr>
          <w:rFonts w:ascii="Arial" w:hAnsi="Arial" w:cs="Arial"/>
          <w:sz w:val="24"/>
          <w:szCs w:val="24"/>
        </w:rPr>
        <w:t xml:space="preserve"> data</w:t>
      </w:r>
      <w:r w:rsidRPr="00AE5947">
        <w:rPr>
          <w:rFonts w:ascii="Arial" w:hAnsi="Arial" w:cs="Arial"/>
          <w:sz w:val="24"/>
          <w:szCs w:val="24"/>
        </w:rPr>
        <w:t>?</w:t>
      </w:r>
    </w:p>
    <w:p w14:paraId="6295079B" w14:textId="719F51F8" w:rsidR="009629A2" w:rsidRPr="00AE5947" w:rsidRDefault="009629A2" w:rsidP="00AE5947">
      <w:pPr>
        <w:spacing w:line="480" w:lineRule="auto"/>
        <w:rPr>
          <w:rFonts w:ascii="Arial" w:hAnsi="Arial" w:cs="Arial"/>
          <w:b/>
          <w:bCs/>
          <w:sz w:val="24"/>
          <w:szCs w:val="24"/>
        </w:rPr>
      </w:pPr>
      <w:r w:rsidRPr="00AE5947">
        <w:rPr>
          <w:rFonts w:ascii="Arial" w:hAnsi="Arial" w:cs="Arial"/>
          <w:b/>
          <w:bCs/>
          <w:sz w:val="24"/>
          <w:szCs w:val="24"/>
        </w:rPr>
        <w:t xml:space="preserve">Research </w:t>
      </w:r>
      <w:r w:rsidR="00222B46" w:rsidRPr="00AE5947">
        <w:rPr>
          <w:rFonts w:ascii="Arial" w:hAnsi="Arial" w:cs="Arial"/>
          <w:b/>
          <w:bCs/>
          <w:sz w:val="24"/>
          <w:szCs w:val="24"/>
        </w:rPr>
        <w:t>h</w:t>
      </w:r>
      <w:r w:rsidRPr="00AE5947">
        <w:rPr>
          <w:rFonts w:ascii="Arial" w:hAnsi="Arial" w:cs="Arial"/>
          <w:b/>
          <w:bCs/>
          <w:sz w:val="24"/>
          <w:szCs w:val="24"/>
        </w:rPr>
        <w:t>ypothes</w:t>
      </w:r>
      <w:r w:rsidR="00222B46" w:rsidRPr="00AE5947">
        <w:rPr>
          <w:rFonts w:ascii="Arial" w:hAnsi="Arial" w:cs="Arial"/>
          <w:b/>
          <w:bCs/>
          <w:sz w:val="24"/>
          <w:szCs w:val="24"/>
        </w:rPr>
        <w:t>i</w:t>
      </w:r>
      <w:r w:rsidRPr="00AE5947">
        <w:rPr>
          <w:rFonts w:ascii="Arial" w:hAnsi="Arial" w:cs="Arial"/>
          <w:b/>
          <w:bCs/>
          <w:sz w:val="24"/>
          <w:szCs w:val="24"/>
        </w:rPr>
        <w:t>s</w:t>
      </w:r>
    </w:p>
    <w:p w14:paraId="625E2B66" w14:textId="7D372311" w:rsidR="009629A2" w:rsidRPr="00AE5947" w:rsidRDefault="009629A2" w:rsidP="00477CCE">
      <w:pPr>
        <w:spacing w:line="480" w:lineRule="auto"/>
        <w:ind w:firstLine="720"/>
        <w:rPr>
          <w:rFonts w:ascii="Arial" w:hAnsi="Arial" w:cs="Arial"/>
          <w:sz w:val="24"/>
          <w:szCs w:val="24"/>
        </w:rPr>
      </w:pPr>
      <w:r w:rsidRPr="00AE5947">
        <w:rPr>
          <w:rFonts w:ascii="Arial" w:hAnsi="Arial" w:cs="Arial"/>
          <w:b/>
          <w:bCs/>
          <w:sz w:val="24"/>
          <w:szCs w:val="24"/>
        </w:rPr>
        <w:t>HO</w:t>
      </w:r>
      <w:r w:rsidRPr="00AE5947">
        <w:rPr>
          <w:rFonts w:ascii="Arial" w:hAnsi="Arial" w:cs="Arial"/>
          <w:sz w:val="24"/>
          <w:szCs w:val="24"/>
        </w:rPr>
        <w:t xml:space="preserve">: </w:t>
      </w:r>
      <w:r w:rsidR="00C32A03" w:rsidRPr="00AE5947">
        <w:rPr>
          <w:rFonts w:ascii="Arial" w:hAnsi="Arial" w:cs="Arial"/>
          <w:sz w:val="24"/>
          <w:szCs w:val="24"/>
        </w:rPr>
        <w:t xml:space="preserve">There is not an association between greater working hours in the past week and </w:t>
      </w:r>
      <w:r w:rsidR="009A624F" w:rsidRPr="00AE5947">
        <w:rPr>
          <w:rFonts w:ascii="Arial" w:hAnsi="Arial" w:cs="Arial"/>
          <w:sz w:val="24"/>
          <w:szCs w:val="24"/>
        </w:rPr>
        <w:t>high total blood</w:t>
      </w:r>
      <w:r w:rsidR="00C32A03" w:rsidRPr="00AE5947">
        <w:rPr>
          <w:rFonts w:ascii="Arial" w:hAnsi="Arial" w:cs="Arial"/>
          <w:sz w:val="24"/>
          <w:szCs w:val="24"/>
        </w:rPr>
        <w:t xml:space="preserve"> cholesterol.</w:t>
      </w:r>
    </w:p>
    <w:p w14:paraId="427CEE8F" w14:textId="0C1BD20E" w:rsidR="009629A2" w:rsidRPr="00BC5A80" w:rsidRDefault="009629A2" w:rsidP="00477CCE">
      <w:pPr>
        <w:spacing w:line="480" w:lineRule="auto"/>
        <w:ind w:firstLine="720"/>
        <w:rPr>
          <w:rFonts w:ascii="Arial" w:hAnsi="Arial" w:cs="Arial"/>
          <w:sz w:val="24"/>
          <w:szCs w:val="24"/>
        </w:rPr>
      </w:pPr>
      <w:r w:rsidRPr="00AE5947">
        <w:rPr>
          <w:rFonts w:ascii="Arial" w:hAnsi="Arial" w:cs="Arial"/>
          <w:b/>
          <w:bCs/>
          <w:sz w:val="24"/>
          <w:szCs w:val="24"/>
        </w:rPr>
        <w:lastRenderedPageBreak/>
        <w:t>H1</w:t>
      </w:r>
      <w:r w:rsidRPr="00AE5947">
        <w:rPr>
          <w:rFonts w:ascii="Arial" w:hAnsi="Arial" w:cs="Arial"/>
          <w:sz w:val="24"/>
          <w:szCs w:val="24"/>
        </w:rPr>
        <w:t xml:space="preserve">: </w:t>
      </w:r>
      <w:r w:rsidR="00C32A03" w:rsidRPr="00AE5947">
        <w:rPr>
          <w:rFonts w:ascii="Arial" w:hAnsi="Arial" w:cs="Arial"/>
          <w:sz w:val="24"/>
          <w:szCs w:val="24"/>
        </w:rPr>
        <w:t xml:space="preserve">There is a significant positive association between greater working hours in </w:t>
      </w:r>
      <w:r w:rsidR="00C32A03" w:rsidRPr="00BC5A80">
        <w:rPr>
          <w:rFonts w:ascii="Arial" w:hAnsi="Arial" w:cs="Arial"/>
          <w:sz w:val="24"/>
          <w:szCs w:val="24"/>
        </w:rPr>
        <w:t xml:space="preserve">the past week and </w:t>
      </w:r>
      <w:r w:rsidR="00EC77CE" w:rsidRPr="00BC5A80">
        <w:rPr>
          <w:rFonts w:ascii="Arial" w:hAnsi="Arial" w:cs="Arial"/>
          <w:sz w:val="24"/>
          <w:szCs w:val="24"/>
        </w:rPr>
        <w:t>high total blood</w:t>
      </w:r>
      <w:r w:rsidR="00C32A03" w:rsidRPr="00BC5A80">
        <w:rPr>
          <w:rFonts w:ascii="Arial" w:hAnsi="Arial" w:cs="Arial"/>
          <w:sz w:val="24"/>
          <w:szCs w:val="24"/>
        </w:rPr>
        <w:t xml:space="preserve"> cholesterol.</w:t>
      </w:r>
    </w:p>
    <w:p w14:paraId="52272860" w14:textId="59A2CA31" w:rsidR="00BC5A80" w:rsidRPr="00BC5A80" w:rsidRDefault="00BC5A80">
      <w:pPr>
        <w:rPr>
          <w:rFonts w:ascii="Arial" w:hAnsi="Arial" w:cs="Arial"/>
          <w:b/>
          <w:bCs/>
          <w:sz w:val="24"/>
          <w:szCs w:val="24"/>
        </w:rPr>
      </w:pPr>
      <w:r w:rsidRPr="00BC5A80">
        <w:rPr>
          <w:rFonts w:ascii="Arial" w:hAnsi="Arial" w:cs="Arial"/>
          <w:b/>
          <w:bCs/>
          <w:sz w:val="24"/>
          <w:szCs w:val="24"/>
        </w:rPr>
        <w:t>References</w:t>
      </w:r>
    </w:p>
    <w:p w14:paraId="751A1D5E" w14:textId="5E55E48C" w:rsidR="004509ED" w:rsidRDefault="004509ED" w:rsidP="004A023F">
      <w:pPr>
        <w:ind w:left="720" w:hanging="720"/>
        <w:rPr>
          <w:rFonts w:ascii="Arial" w:hAnsi="Arial" w:cs="Arial"/>
          <w:sz w:val="24"/>
          <w:szCs w:val="24"/>
        </w:rPr>
      </w:pPr>
      <w:proofErr w:type="spellStart"/>
      <w:r w:rsidRPr="004509ED">
        <w:rPr>
          <w:rFonts w:ascii="Arial" w:hAnsi="Arial" w:cs="Arial"/>
          <w:sz w:val="24"/>
          <w:szCs w:val="24"/>
        </w:rPr>
        <w:t>Artazcoz</w:t>
      </w:r>
      <w:proofErr w:type="spellEnd"/>
      <w:r w:rsidRPr="004509ED">
        <w:rPr>
          <w:rFonts w:ascii="Arial" w:hAnsi="Arial" w:cs="Arial"/>
          <w:sz w:val="24"/>
          <w:szCs w:val="24"/>
        </w:rPr>
        <w:t xml:space="preserve">, L., </w:t>
      </w:r>
      <w:proofErr w:type="spellStart"/>
      <w:r w:rsidRPr="004509ED">
        <w:rPr>
          <w:rFonts w:ascii="Arial" w:hAnsi="Arial" w:cs="Arial"/>
          <w:sz w:val="24"/>
          <w:szCs w:val="24"/>
        </w:rPr>
        <w:t>Cortès</w:t>
      </w:r>
      <w:proofErr w:type="spellEnd"/>
      <w:r w:rsidRPr="004509ED">
        <w:rPr>
          <w:rFonts w:ascii="Arial" w:hAnsi="Arial" w:cs="Arial"/>
          <w:sz w:val="24"/>
          <w:szCs w:val="24"/>
        </w:rPr>
        <w:t xml:space="preserve">, I., </w:t>
      </w:r>
      <w:proofErr w:type="spellStart"/>
      <w:r w:rsidRPr="004509ED">
        <w:rPr>
          <w:rFonts w:ascii="Arial" w:hAnsi="Arial" w:cs="Arial"/>
          <w:sz w:val="24"/>
          <w:szCs w:val="24"/>
        </w:rPr>
        <w:t>Escribà-Agüir</w:t>
      </w:r>
      <w:proofErr w:type="spellEnd"/>
      <w:r w:rsidRPr="004509ED">
        <w:rPr>
          <w:rFonts w:ascii="Arial" w:hAnsi="Arial" w:cs="Arial"/>
          <w:sz w:val="24"/>
          <w:szCs w:val="24"/>
        </w:rPr>
        <w:t xml:space="preserve">, V., </w:t>
      </w:r>
      <w:proofErr w:type="spellStart"/>
      <w:r w:rsidRPr="004509ED">
        <w:rPr>
          <w:rFonts w:ascii="Arial" w:hAnsi="Arial" w:cs="Arial"/>
          <w:sz w:val="24"/>
          <w:szCs w:val="24"/>
        </w:rPr>
        <w:t>Cascant</w:t>
      </w:r>
      <w:proofErr w:type="spellEnd"/>
      <w:r w:rsidRPr="004509ED">
        <w:rPr>
          <w:rFonts w:ascii="Arial" w:hAnsi="Arial" w:cs="Arial"/>
          <w:sz w:val="24"/>
          <w:szCs w:val="24"/>
        </w:rPr>
        <w:t xml:space="preserve">, L., &amp; Villegas, R. (2009). Understanding the relationship of long working hours with health status and health-related </w:t>
      </w:r>
      <w:proofErr w:type="spellStart"/>
      <w:r w:rsidRPr="004509ED">
        <w:rPr>
          <w:rFonts w:ascii="Arial" w:hAnsi="Arial" w:cs="Arial"/>
          <w:sz w:val="24"/>
          <w:szCs w:val="24"/>
        </w:rPr>
        <w:t>behaviours</w:t>
      </w:r>
      <w:proofErr w:type="spellEnd"/>
      <w:r w:rsidRPr="004509ED">
        <w:rPr>
          <w:rFonts w:ascii="Arial" w:hAnsi="Arial" w:cs="Arial"/>
          <w:sz w:val="24"/>
          <w:szCs w:val="24"/>
        </w:rPr>
        <w:t xml:space="preserve">. </w:t>
      </w:r>
      <w:r w:rsidRPr="004509ED">
        <w:rPr>
          <w:rFonts w:ascii="Arial" w:hAnsi="Arial" w:cs="Arial"/>
          <w:i/>
          <w:iCs/>
          <w:sz w:val="24"/>
          <w:szCs w:val="24"/>
        </w:rPr>
        <w:t>Journal of Epidemiology and Community Health, 63</w:t>
      </w:r>
      <w:r w:rsidRPr="004509ED">
        <w:rPr>
          <w:rFonts w:ascii="Arial" w:hAnsi="Arial" w:cs="Arial"/>
          <w:sz w:val="24"/>
          <w:szCs w:val="24"/>
        </w:rPr>
        <w:t>(7), 521–527.</w:t>
      </w:r>
      <w:r w:rsidR="00350241">
        <w:rPr>
          <w:rFonts w:ascii="Arial" w:hAnsi="Arial" w:cs="Arial"/>
          <w:sz w:val="24"/>
          <w:szCs w:val="24"/>
        </w:rPr>
        <w:t xml:space="preserve"> </w:t>
      </w:r>
      <w:hyperlink r:id="rId12" w:history="1">
        <w:r w:rsidR="00350241" w:rsidRPr="00350241">
          <w:rPr>
            <w:rStyle w:val="Hyperlink"/>
            <w:rFonts w:ascii="Arial" w:hAnsi="Arial" w:cs="Arial"/>
            <w:sz w:val="24"/>
            <w:szCs w:val="24"/>
          </w:rPr>
          <w:t>https://doi.org/10.1136/jech.2008.082123</w:t>
        </w:r>
      </w:hyperlink>
    </w:p>
    <w:p w14:paraId="55339510" w14:textId="53B580C6" w:rsidR="00BC5A80" w:rsidRDefault="00BC5A80" w:rsidP="004A023F">
      <w:pPr>
        <w:ind w:left="720" w:hanging="720"/>
        <w:rPr>
          <w:rFonts w:ascii="Arial" w:hAnsi="Arial" w:cs="Arial"/>
          <w:sz w:val="24"/>
          <w:szCs w:val="24"/>
        </w:rPr>
      </w:pPr>
      <w:r w:rsidRPr="00BC5A80">
        <w:rPr>
          <w:rFonts w:ascii="Arial" w:hAnsi="Arial" w:cs="Arial"/>
          <w:sz w:val="24"/>
          <w:szCs w:val="24"/>
        </w:rPr>
        <w:t xml:space="preserve">CDC. (2020, January 31). </w:t>
      </w:r>
      <w:r w:rsidRPr="00FB6B56">
        <w:rPr>
          <w:rFonts w:ascii="Arial" w:hAnsi="Arial" w:cs="Arial"/>
          <w:i/>
          <w:iCs/>
          <w:sz w:val="24"/>
          <w:szCs w:val="24"/>
        </w:rPr>
        <w:t>Knowing Your Risk: High Cholesterol</w:t>
      </w:r>
      <w:r w:rsidRPr="00BC5A80">
        <w:rPr>
          <w:rFonts w:ascii="Arial" w:hAnsi="Arial" w:cs="Arial"/>
          <w:sz w:val="24"/>
          <w:szCs w:val="24"/>
        </w:rPr>
        <w:t xml:space="preserve">. Centers for Disease Control and Prevention. </w:t>
      </w:r>
      <w:hyperlink r:id="rId13" w:history="1">
        <w:r w:rsidRPr="009C10E6">
          <w:rPr>
            <w:rStyle w:val="Hyperlink"/>
            <w:rFonts w:ascii="Arial" w:hAnsi="Arial" w:cs="Arial"/>
            <w:sz w:val="24"/>
            <w:szCs w:val="24"/>
          </w:rPr>
          <w:t>https://www.cdc.gov/cholesterol/risk_factors.htm</w:t>
        </w:r>
      </w:hyperlink>
    </w:p>
    <w:p w14:paraId="6834E0BB" w14:textId="2D8109B7" w:rsidR="005675D4" w:rsidRDefault="005675D4" w:rsidP="004A023F">
      <w:pPr>
        <w:ind w:left="720" w:hanging="720"/>
        <w:rPr>
          <w:rFonts w:ascii="Arial" w:hAnsi="Arial" w:cs="Arial"/>
          <w:sz w:val="24"/>
          <w:szCs w:val="24"/>
        </w:rPr>
      </w:pPr>
      <w:r w:rsidRPr="005675D4">
        <w:rPr>
          <w:rFonts w:ascii="Arial" w:hAnsi="Arial" w:cs="Arial"/>
          <w:sz w:val="24"/>
          <w:szCs w:val="24"/>
        </w:rPr>
        <w:t xml:space="preserve">Ferrara, P., Laura, D. D., </w:t>
      </w:r>
      <w:proofErr w:type="spellStart"/>
      <w:r w:rsidRPr="005675D4">
        <w:rPr>
          <w:rFonts w:ascii="Arial" w:hAnsi="Arial" w:cs="Arial"/>
          <w:sz w:val="24"/>
          <w:szCs w:val="24"/>
        </w:rPr>
        <w:t>Cortesi</w:t>
      </w:r>
      <w:proofErr w:type="spellEnd"/>
      <w:r w:rsidRPr="005675D4">
        <w:rPr>
          <w:rFonts w:ascii="Arial" w:hAnsi="Arial" w:cs="Arial"/>
          <w:sz w:val="24"/>
          <w:szCs w:val="24"/>
        </w:rPr>
        <w:t xml:space="preserve">, P. A., &amp; </w:t>
      </w:r>
      <w:proofErr w:type="spellStart"/>
      <w:r w:rsidRPr="005675D4">
        <w:rPr>
          <w:rFonts w:ascii="Arial" w:hAnsi="Arial" w:cs="Arial"/>
          <w:sz w:val="24"/>
          <w:szCs w:val="24"/>
        </w:rPr>
        <w:t>Mantovani</w:t>
      </w:r>
      <w:proofErr w:type="spellEnd"/>
      <w:r w:rsidRPr="005675D4">
        <w:rPr>
          <w:rFonts w:ascii="Arial" w:hAnsi="Arial" w:cs="Arial"/>
          <w:sz w:val="24"/>
          <w:szCs w:val="24"/>
        </w:rPr>
        <w:t xml:space="preserve">, L. G. (2021). The economic impact of hypercholesterolemia and mixed dyslipidemia: A systematic review of cost of illness studies. </w:t>
      </w:r>
      <w:r w:rsidRPr="006A33D6">
        <w:rPr>
          <w:rFonts w:ascii="Arial" w:hAnsi="Arial" w:cs="Arial"/>
          <w:i/>
          <w:iCs/>
          <w:sz w:val="24"/>
          <w:szCs w:val="24"/>
        </w:rPr>
        <w:t>PLOS ONE, 16</w:t>
      </w:r>
      <w:r w:rsidRPr="005675D4">
        <w:rPr>
          <w:rFonts w:ascii="Arial" w:hAnsi="Arial" w:cs="Arial"/>
          <w:sz w:val="24"/>
          <w:szCs w:val="24"/>
        </w:rPr>
        <w:t>(7), e0254631.</w:t>
      </w:r>
      <w:r>
        <w:rPr>
          <w:rFonts w:ascii="Arial" w:hAnsi="Arial" w:cs="Arial"/>
          <w:sz w:val="24"/>
          <w:szCs w:val="24"/>
        </w:rPr>
        <w:t xml:space="preserve"> </w:t>
      </w:r>
      <w:hyperlink r:id="rId14" w:history="1">
        <w:r w:rsidR="000C281C" w:rsidRPr="00843D71">
          <w:rPr>
            <w:rStyle w:val="Hyperlink"/>
            <w:rFonts w:ascii="Arial" w:hAnsi="Arial" w:cs="Arial"/>
            <w:sz w:val="24"/>
            <w:szCs w:val="24"/>
          </w:rPr>
          <w:t>https://doi.org/10.1371/journal.pone.0254631</w:t>
        </w:r>
      </w:hyperlink>
    </w:p>
    <w:p w14:paraId="4A5E7969" w14:textId="2C8C3753" w:rsidR="006623CD" w:rsidRDefault="006623CD" w:rsidP="004A023F">
      <w:pPr>
        <w:ind w:left="720" w:hanging="720"/>
        <w:rPr>
          <w:rFonts w:ascii="Arial" w:hAnsi="Arial" w:cs="Arial"/>
          <w:sz w:val="24"/>
          <w:szCs w:val="24"/>
        </w:rPr>
      </w:pPr>
      <w:proofErr w:type="spellStart"/>
      <w:r w:rsidRPr="006623CD">
        <w:rPr>
          <w:rFonts w:ascii="Arial" w:hAnsi="Arial" w:cs="Arial"/>
          <w:sz w:val="24"/>
          <w:szCs w:val="24"/>
        </w:rPr>
        <w:t>Kivimäki</w:t>
      </w:r>
      <w:proofErr w:type="spellEnd"/>
      <w:r w:rsidRPr="006623CD">
        <w:rPr>
          <w:rFonts w:ascii="Arial" w:hAnsi="Arial" w:cs="Arial"/>
          <w:sz w:val="24"/>
          <w:szCs w:val="24"/>
        </w:rPr>
        <w:t>, M., Jokela, M., Nyberg, S. T., Singh-</w:t>
      </w:r>
      <w:proofErr w:type="spellStart"/>
      <w:r w:rsidRPr="006623CD">
        <w:rPr>
          <w:rFonts w:ascii="Arial" w:hAnsi="Arial" w:cs="Arial"/>
          <w:sz w:val="24"/>
          <w:szCs w:val="24"/>
        </w:rPr>
        <w:t>Manoux</w:t>
      </w:r>
      <w:proofErr w:type="spellEnd"/>
      <w:r w:rsidRPr="006623CD">
        <w:rPr>
          <w:rFonts w:ascii="Arial" w:hAnsi="Arial" w:cs="Arial"/>
          <w:sz w:val="24"/>
          <w:szCs w:val="24"/>
        </w:rPr>
        <w:t xml:space="preserve">, A., </w:t>
      </w:r>
      <w:proofErr w:type="spellStart"/>
      <w:r w:rsidRPr="006623CD">
        <w:rPr>
          <w:rFonts w:ascii="Arial" w:hAnsi="Arial" w:cs="Arial"/>
          <w:sz w:val="24"/>
          <w:szCs w:val="24"/>
        </w:rPr>
        <w:t>Fransson</w:t>
      </w:r>
      <w:proofErr w:type="spellEnd"/>
      <w:r w:rsidRPr="006623CD">
        <w:rPr>
          <w:rFonts w:ascii="Arial" w:hAnsi="Arial" w:cs="Arial"/>
          <w:sz w:val="24"/>
          <w:szCs w:val="24"/>
        </w:rPr>
        <w:t xml:space="preserve">, E. I., Alfredsson, L., </w:t>
      </w:r>
      <w:proofErr w:type="spellStart"/>
      <w:r w:rsidRPr="006623CD">
        <w:rPr>
          <w:rFonts w:ascii="Arial" w:hAnsi="Arial" w:cs="Arial"/>
          <w:sz w:val="24"/>
          <w:szCs w:val="24"/>
        </w:rPr>
        <w:t>Bjorner</w:t>
      </w:r>
      <w:proofErr w:type="spellEnd"/>
      <w:r w:rsidRPr="006623CD">
        <w:rPr>
          <w:rFonts w:ascii="Arial" w:hAnsi="Arial" w:cs="Arial"/>
          <w:sz w:val="24"/>
          <w:szCs w:val="24"/>
        </w:rPr>
        <w:t xml:space="preserve">, J. B., </w:t>
      </w:r>
      <w:proofErr w:type="spellStart"/>
      <w:r w:rsidRPr="006623CD">
        <w:rPr>
          <w:rFonts w:ascii="Arial" w:hAnsi="Arial" w:cs="Arial"/>
          <w:sz w:val="24"/>
          <w:szCs w:val="24"/>
        </w:rPr>
        <w:t>Borritz</w:t>
      </w:r>
      <w:proofErr w:type="spellEnd"/>
      <w:r w:rsidRPr="006623CD">
        <w:rPr>
          <w:rFonts w:ascii="Arial" w:hAnsi="Arial" w:cs="Arial"/>
          <w:sz w:val="24"/>
          <w:szCs w:val="24"/>
        </w:rPr>
        <w:t xml:space="preserve">, M., Burr, H., </w:t>
      </w:r>
      <w:proofErr w:type="spellStart"/>
      <w:r w:rsidRPr="006623CD">
        <w:rPr>
          <w:rFonts w:ascii="Arial" w:hAnsi="Arial" w:cs="Arial"/>
          <w:sz w:val="24"/>
          <w:szCs w:val="24"/>
        </w:rPr>
        <w:t>Casini</w:t>
      </w:r>
      <w:proofErr w:type="spellEnd"/>
      <w:r w:rsidRPr="006623CD">
        <w:rPr>
          <w:rFonts w:ascii="Arial" w:hAnsi="Arial" w:cs="Arial"/>
          <w:sz w:val="24"/>
          <w:szCs w:val="24"/>
        </w:rPr>
        <w:t xml:space="preserve">, A., Clays, E., </w:t>
      </w:r>
      <w:proofErr w:type="spellStart"/>
      <w:r w:rsidRPr="006623CD">
        <w:rPr>
          <w:rFonts w:ascii="Arial" w:hAnsi="Arial" w:cs="Arial"/>
          <w:sz w:val="24"/>
          <w:szCs w:val="24"/>
        </w:rPr>
        <w:t>Bacquer</w:t>
      </w:r>
      <w:proofErr w:type="spellEnd"/>
      <w:r w:rsidRPr="006623CD">
        <w:rPr>
          <w:rFonts w:ascii="Arial" w:hAnsi="Arial" w:cs="Arial"/>
          <w:sz w:val="24"/>
          <w:szCs w:val="24"/>
        </w:rPr>
        <w:t xml:space="preserve">, D. D., </w:t>
      </w:r>
      <w:proofErr w:type="spellStart"/>
      <w:r w:rsidRPr="006623CD">
        <w:rPr>
          <w:rFonts w:ascii="Arial" w:hAnsi="Arial" w:cs="Arial"/>
          <w:sz w:val="24"/>
          <w:szCs w:val="24"/>
        </w:rPr>
        <w:t>Dragano</w:t>
      </w:r>
      <w:proofErr w:type="spellEnd"/>
      <w:r w:rsidRPr="006623CD">
        <w:rPr>
          <w:rFonts w:ascii="Arial" w:hAnsi="Arial" w:cs="Arial"/>
          <w:sz w:val="24"/>
          <w:szCs w:val="24"/>
        </w:rPr>
        <w:t xml:space="preserve">, N., </w:t>
      </w:r>
      <w:proofErr w:type="spellStart"/>
      <w:r w:rsidRPr="006623CD">
        <w:rPr>
          <w:rFonts w:ascii="Arial" w:hAnsi="Arial" w:cs="Arial"/>
          <w:sz w:val="24"/>
          <w:szCs w:val="24"/>
        </w:rPr>
        <w:t>Erbel</w:t>
      </w:r>
      <w:proofErr w:type="spellEnd"/>
      <w:r w:rsidRPr="006623CD">
        <w:rPr>
          <w:rFonts w:ascii="Arial" w:hAnsi="Arial" w:cs="Arial"/>
          <w:sz w:val="24"/>
          <w:szCs w:val="24"/>
        </w:rPr>
        <w:t xml:space="preserve">, R., </w:t>
      </w:r>
      <w:proofErr w:type="spellStart"/>
      <w:r w:rsidRPr="006623CD">
        <w:rPr>
          <w:rFonts w:ascii="Arial" w:hAnsi="Arial" w:cs="Arial"/>
          <w:sz w:val="24"/>
          <w:szCs w:val="24"/>
        </w:rPr>
        <w:t>Geuskens</w:t>
      </w:r>
      <w:proofErr w:type="spellEnd"/>
      <w:r w:rsidRPr="006623CD">
        <w:rPr>
          <w:rFonts w:ascii="Arial" w:hAnsi="Arial" w:cs="Arial"/>
          <w:sz w:val="24"/>
          <w:szCs w:val="24"/>
        </w:rPr>
        <w:t xml:space="preserve">, G. A., Hamer, M., </w:t>
      </w:r>
      <w:proofErr w:type="spellStart"/>
      <w:r w:rsidRPr="006623CD">
        <w:rPr>
          <w:rFonts w:ascii="Arial" w:hAnsi="Arial" w:cs="Arial"/>
          <w:sz w:val="24"/>
          <w:szCs w:val="24"/>
        </w:rPr>
        <w:t>Hooftman</w:t>
      </w:r>
      <w:proofErr w:type="spellEnd"/>
      <w:r w:rsidRPr="006623CD">
        <w:rPr>
          <w:rFonts w:ascii="Arial" w:hAnsi="Arial" w:cs="Arial"/>
          <w:sz w:val="24"/>
          <w:szCs w:val="24"/>
        </w:rPr>
        <w:t xml:space="preserve">, W. E., </w:t>
      </w:r>
      <w:proofErr w:type="spellStart"/>
      <w:r w:rsidRPr="006623CD">
        <w:rPr>
          <w:rFonts w:ascii="Arial" w:hAnsi="Arial" w:cs="Arial"/>
          <w:sz w:val="24"/>
          <w:szCs w:val="24"/>
        </w:rPr>
        <w:t>Houtman</w:t>
      </w:r>
      <w:proofErr w:type="spellEnd"/>
      <w:r w:rsidRPr="006623CD">
        <w:rPr>
          <w:rFonts w:ascii="Arial" w:hAnsi="Arial" w:cs="Arial"/>
          <w:sz w:val="24"/>
          <w:szCs w:val="24"/>
        </w:rPr>
        <w:t xml:space="preserve">, I. L., </w:t>
      </w:r>
      <w:proofErr w:type="spellStart"/>
      <w:r w:rsidRPr="006623CD">
        <w:rPr>
          <w:rFonts w:ascii="Arial" w:hAnsi="Arial" w:cs="Arial"/>
          <w:sz w:val="24"/>
          <w:szCs w:val="24"/>
        </w:rPr>
        <w:t>Jöckel</w:t>
      </w:r>
      <w:proofErr w:type="spellEnd"/>
      <w:r w:rsidRPr="006623CD">
        <w:rPr>
          <w:rFonts w:ascii="Arial" w:hAnsi="Arial" w:cs="Arial"/>
          <w:sz w:val="24"/>
          <w:szCs w:val="24"/>
        </w:rPr>
        <w:t xml:space="preserve">, K.-H., … Virtanen, M. (2015). Long working hours and risk of coronary heart disease and stroke: A systematic review and meta-analysis of published and unpublished data for 603 838 individuals. </w:t>
      </w:r>
      <w:r w:rsidRPr="006623CD">
        <w:rPr>
          <w:rFonts w:ascii="Arial" w:hAnsi="Arial" w:cs="Arial"/>
          <w:i/>
          <w:iCs/>
          <w:sz w:val="24"/>
          <w:szCs w:val="24"/>
        </w:rPr>
        <w:t>The Lancet, 386</w:t>
      </w:r>
      <w:r w:rsidRPr="006623CD">
        <w:rPr>
          <w:rFonts w:ascii="Arial" w:hAnsi="Arial" w:cs="Arial"/>
          <w:sz w:val="24"/>
          <w:szCs w:val="24"/>
        </w:rPr>
        <w:t xml:space="preserve">(10005), 1739–1746. </w:t>
      </w:r>
      <w:hyperlink r:id="rId15" w:history="1">
        <w:r w:rsidRPr="0030687A">
          <w:rPr>
            <w:rStyle w:val="Hyperlink"/>
            <w:rFonts w:ascii="Arial" w:hAnsi="Arial" w:cs="Arial"/>
            <w:sz w:val="24"/>
            <w:szCs w:val="24"/>
          </w:rPr>
          <w:t>https://doi.org/10.1016/S0140-6736(15)60295-1</w:t>
        </w:r>
      </w:hyperlink>
    </w:p>
    <w:p w14:paraId="30F94884" w14:textId="06D9BC50" w:rsidR="002B000E" w:rsidRDefault="002B000E" w:rsidP="004A023F">
      <w:pPr>
        <w:ind w:left="720" w:hanging="720"/>
        <w:rPr>
          <w:rFonts w:ascii="Arial" w:hAnsi="Arial" w:cs="Arial"/>
          <w:sz w:val="24"/>
          <w:szCs w:val="24"/>
        </w:rPr>
      </w:pPr>
      <w:proofErr w:type="spellStart"/>
      <w:r w:rsidRPr="002B000E">
        <w:rPr>
          <w:rFonts w:ascii="Arial" w:hAnsi="Arial" w:cs="Arial"/>
          <w:sz w:val="24"/>
          <w:szCs w:val="24"/>
        </w:rPr>
        <w:t>Kivimaki</w:t>
      </w:r>
      <w:proofErr w:type="spellEnd"/>
      <w:r w:rsidRPr="002B000E">
        <w:rPr>
          <w:rFonts w:ascii="Arial" w:hAnsi="Arial" w:cs="Arial"/>
          <w:sz w:val="24"/>
          <w:szCs w:val="24"/>
        </w:rPr>
        <w:t xml:space="preserve">, M., &amp; Steptoe, A. (2018). Effects of stress on the development and progression of cardiovascular disease. </w:t>
      </w:r>
      <w:r w:rsidRPr="002B000E">
        <w:rPr>
          <w:rFonts w:ascii="Arial" w:hAnsi="Arial" w:cs="Arial"/>
          <w:i/>
          <w:iCs/>
          <w:sz w:val="24"/>
          <w:szCs w:val="24"/>
        </w:rPr>
        <w:t>Nature Reviews Cardiology, 15</w:t>
      </w:r>
      <w:r w:rsidRPr="002B000E">
        <w:rPr>
          <w:rFonts w:ascii="Arial" w:hAnsi="Arial" w:cs="Arial"/>
          <w:sz w:val="24"/>
          <w:szCs w:val="24"/>
        </w:rPr>
        <w:t xml:space="preserve">(4), 215–230. </w:t>
      </w:r>
      <w:hyperlink r:id="rId16" w:history="1">
        <w:r w:rsidRPr="002B000E">
          <w:rPr>
            <w:rStyle w:val="Hyperlink"/>
            <w:rFonts w:ascii="Arial" w:hAnsi="Arial" w:cs="Arial"/>
            <w:sz w:val="24"/>
            <w:szCs w:val="24"/>
          </w:rPr>
          <w:t>https://doi.org/10.1038/nrcardio.2017.189</w:t>
        </w:r>
      </w:hyperlink>
    </w:p>
    <w:p w14:paraId="2C5160ED" w14:textId="4DEA9C3F" w:rsidR="000C281C" w:rsidRDefault="00A71CAF" w:rsidP="004A023F">
      <w:pPr>
        <w:ind w:left="720" w:hanging="720"/>
        <w:rPr>
          <w:rFonts w:ascii="Arial" w:hAnsi="Arial" w:cs="Arial"/>
          <w:sz w:val="24"/>
          <w:szCs w:val="24"/>
        </w:rPr>
      </w:pPr>
      <w:r w:rsidRPr="00A71CAF">
        <w:rPr>
          <w:rFonts w:ascii="Arial" w:hAnsi="Arial" w:cs="Arial"/>
          <w:sz w:val="24"/>
          <w:szCs w:val="24"/>
        </w:rPr>
        <w:t xml:space="preserve">Lee, D.-W., Hong, Y.-C., Min, K.-B., Kim, T.-S., Kim, M.-S., &amp; Kang, M.-Y. (2016). The effect of long working hours on 10-year risk of coronary heart disease and stroke in the Korean population: The Korea National Health and Nutrition Examination Survey (KNHANES), 2007 to 2013. </w:t>
      </w:r>
      <w:r w:rsidRPr="00A71CAF">
        <w:rPr>
          <w:rFonts w:ascii="Arial" w:hAnsi="Arial" w:cs="Arial"/>
          <w:i/>
          <w:iCs/>
          <w:sz w:val="24"/>
          <w:szCs w:val="24"/>
        </w:rPr>
        <w:t>Annals of Occupational and Environmental Medicine, 28</w:t>
      </w:r>
      <w:r w:rsidRPr="00A71CAF">
        <w:rPr>
          <w:rFonts w:ascii="Arial" w:hAnsi="Arial" w:cs="Arial"/>
          <w:sz w:val="24"/>
          <w:szCs w:val="24"/>
        </w:rPr>
        <w:t xml:space="preserve">(1). </w:t>
      </w:r>
      <w:hyperlink r:id="rId17" w:history="1">
        <w:r w:rsidRPr="00A71CAF">
          <w:rPr>
            <w:rStyle w:val="Hyperlink"/>
            <w:rFonts w:ascii="Arial" w:hAnsi="Arial" w:cs="Arial"/>
            <w:sz w:val="24"/>
            <w:szCs w:val="24"/>
          </w:rPr>
          <w:t>https://doi.org/10.1186/s40557-016-0149-5</w:t>
        </w:r>
      </w:hyperlink>
    </w:p>
    <w:p w14:paraId="3C78FD05" w14:textId="5E7345A9" w:rsidR="002F3715" w:rsidRDefault="002F3715" w:rsidP="004A023F">
      <w:pPr>
        <w:ind w:left="720" w:hanging="720"/>
        <w:rPr>
          <w:rFonts w:ascii="Arial" w:hAnsi="Arial" w:cs="Arial"/>
          <w:sz w:val="24"/>
          <w:szCs w:val="24"/>
        </w:rPr>
      </w:pPr>
      <w:r w:rsidRPr="002F3715">
        <w:rPr>
          <w:rFonts w:ascii="Arial" w:hAnsi="Arial" w:cs="Arial"/>
          <w:sz w:val="24"/>
          <w:szCs w:val="24"/>
        </w:rPr>
        <w:t>L</w:t>
      </w:r>
      <w:r>
        <w:rPr>
          <w:rFonts w:ascii="Arial" w:hAnsi="Arial" w:cs="Arial"/>
          <w:sz w:val="24"/>
          <w:szCs w:val="24"/>
        </w:rPr>
        <w:t>emke</w:t>
      </w:r>
      <w:r w:rsidRPr="002F3715">
        <w:rPr>
          <w:rFonts w:ascii="Arial" w:hAnsi="Arial" w:cs="Arial"/>
          <w:sz w:val="24"/>
          <w:szCs w:val="24"/>
        </w:rPr>
        <w:t xml:space="preserve">, M. K., </w:t>
      </w:r>
      <w:proofErr w:type="spellStart"/>
      <w:r w:rsidRPr="002F3715">
        <w:rPr>
          <w:rFonts w:ascii="Arial" w:hAnsi="Arial" w:cs="Arial"/>
          <w:sz w:val="24"/>
          <w:szCs w:val="24"/>
        </w:rPr>
        <w:t>Apostolopoulos</w:t>
      </w:r>
      <w:proofErr w:type="spellEnd"/>
      <w:r w:rsidRPr="002F3715">
        <w:rPr>
          <w:rFonts w:ascii="Arial" w:hAnsi="Arial" w:cs="Arial"/>
          <w:sz w:val="24"/>
          <w:szCs w:val="24"/>
        </w:rPr>
        <w:t xml:space="preserve">, Y., Hege, A., Wideman, L., &amp; Sönmez, S. (2017). Work, sleep, and cholesterol levels of U.S. long-haul truck drivers. </w:t>
      </w:r>
      <w:r w:rsidRPr="002F3715">
        <w:rPr>
          <w:rFonts w:ascii="Arial" w:hAnsi="Arial" w:cs="Arial"/>
          <w:i/>
          <w:iCs/>
          <w:sz w:val="24"/>
          <w:szCs w:val="24"/>
        </w:rPr>
        <w:t>Industrial Health, 55</w:t>
      </w:r>
      <w:r w:rsidRPr="002F3715">
        <w:rPr>
          <w:rFonts w:ascii="Arial" w:hAnsi="Arial" w:cs="Arial"/>
          <w:sz w:val="24"/>
          <w:szCs w:val="24"/>
        </w:rPr>
        <w:t xml:space="preserve">(2), 149–161. </w:t>
      </w:r>
      <w:hyperlink r:id="rId18" w:history="1">
        <w:r w:rsidRPr="002F3715">
          <w:rPr>
            <w:rStyle w:val="Hyperlink"/>
            <w:rFonts w:ascii="Arial" w:hAnsi="Arial" w:cs="Arial"/>
            <w:sz w:val="24"/>
            <w:szCs w:val="24"/>
          </w:rPr>
          <w:t>https://doi.org/10.2486/indhealth.2016-0127</w:t>
        </w:r>
      </w:hyperlink>
    </w:p>
    <w:p w14:paraId="68624920" w14:textId="45BE0F84" w:rsidR="00BC5A80" w:rsidRDefault="00BB6421" w:rsidP="004A023F">
      <w:pPr>
        <w:ind w:left="720" w:hanging="720"/>
        <w:rPr>
          <w:rFonts w:ascii="Arial" w:hAnsi="Arial" w:cs="Arial"/>
          <w:sz w:val="24"/>
          <w:szCs w:val="24"/>
        </w:rPr>
      </w:pPr>
      <w:r w:rsidRPr="00BB6421">
        <w:rPr>
          <w:rFonts w:ascii="Arial" w:hAnsi="Arial" w:cs="Arial"/>
          <w:sz w:val="24"/>
          <w:szCs w:val="24"/>
        </w:rPr>
        <w:t xml:space="preserve">National Institutes of Health. (2001, May). ATP III Guidelines At-A-Glance Quick Desk Reference. </w:t>
      </w:r>
      <w:r w:rsidRPr="00405C63">
        <w:rPr>
          <w:rFonts w:ascii="Arial" w:hAnsi="Arial" w:cs="Arial"/>
          <w:i/>
          <w:iCs/>
          <w:sz w:val="24"/>
          <w:szCs w:val="24"/>
        </w:rPr>
        <w:t>National Heart, Lung, and Blood Institute</w:t>
      </w:r>
      <w:r w:rsidRPr="00BB6421">
        <w:rPr>
          <w:rFonts w:ascii="Arial" w:hAnsi="Arial" w:cs="Arial"/>
          <w:sz w:val="24"/>
          <w:szCs w:val="24"/>
        </w:rPr>
        <w:t xml:space="preserve">. </w:t>
      </w:r>
      <w:hyperlink r:id="rId19" w:history="1">
        <w:r w:rsidRPr="00BB6421">
          <w:rPr>
            <w:rStyle w:val="Hyperlink"/>
            <w:rFonts w:ascii="Arial" w:hAnsi="Arial" w:cs="Arial"/>
            <w:sz w:val="24"/>
            <w:szCs w:val="24"/>
          </w:rPr>
          <w:t>https://www.nhlbi.nih.gov/health-topics/all-publications-and-resources/atp-iii-glance-quick-desk-reference</w:t>
        </w:r>
      </w:hyperlink>
    </w:p>
    <w:p w14:paraId="2766134C" w14:textId="7E15FB37" w:rsidR="00F4548F" w:rsidRDefault="00F4548F" w:rsidP="004A023F">
      <w:pPr>
        <w:ind w:left="720" w:hanging="720"/>
        <w:rPr>
          <w:rFonts w:ascii="Arial" w:hAnsi="Arial" w:cs="Arial"/>
          <w:sz w:val="24"/>
          <w:szCs w:val="24"/>
        </w:rPr>
      </w:pPr>
      <w:r>
        <w:rPr>
          <w:rFonts w:ascii="Arial" w:hAnsi="Arial" w:cs="Arial"/>
          <w:sz w:val="24"/>
          <w:szCs w:val="24"/>
        </w:rPr>
        <w:t xml:space="preserve">Patient Protection and Affordable Care Act of 2010, </w:t>
      </w:r>
      <w:r w:rsidR="0022736E">
        <w:rPr>
          <w:rFonts w:ascii="Arial" w:hAnsi="Arial" w:cs="Arial"/>
          <w:sz w:val="24"/>
          <w:szCs w:val="24"/>
        </w:rPr>
        <w:t xml:space="preserve">42 U.S.C. </w:t>
      </w:r>
      <w:r w:rsidR="0022736E" w:rsidRPr="00237691">
        <w:rPr>
          <w:rFonts w:ascii="Arial" w:hAnsi="Arial" w:cs="Arial"/>
          <w:sz w:val="24"/>
          <w:szCs w:val="24"/>
        </w:rPr>
        <w:t>§</w:t>
      </w:r>
      <w:r w:rsidR="0022736E">
        <w:rPr>
          <w:rFonts w:ascii="Arial" w:hAnsi="Arial" w:cs="Arial"/>
          <w:sz w:val="24"/>
          <w:szCs w:val="24"/>
        </w:rPr>
        <w:t>18001</w:t>
      </w:r>
      <w:r w:rsidR="00050A59">
        <w:rPr>
          <w:rFonts w:ascii="Arial" w:hAnsi="Arial" w:cs="Arial"/>
          <w:sz w:val="24"/>
          <w:szCs w:val="24"/>
        </w:rPr>
        <w:t>.</w:t>
      </w:r>
    </w:p>
    <w:p w14:paraId="2C535E6C" w14:textId="5E9A6ADE" w:rsidR="00405C63" w:rsidRDefault="00405C63" w:rsidP="004A023F">
      <w:pPr>
        <w:ind w:left="720" w:hanging="720"/>
        <w:rPr>
          <w:rFonts w:ascii="Arial" w:hAnsi="Arial" w:cs="Arial"/>
          <w:sz w:val="24"/>
          <w:szCs w:val="24"/>
        </w:rPr>
      </w:pPr>
      <w:r w:rsidRPr="00405C63">
        <w:rPr>
          <w:rFonts w:ascii="Arial" w:hAnsi="Arial" w:cs="Arial"/>
          <w:sz w:val="24"/>
          <w:szCs w:val="24"/>
        </w:rPr>
        <w:lastRenderedPageBreak/>
        <w:t xml:space="preserve">Reynolds, A. C., Bucks, R. S., Paterson, J. L., Ferguson, S. A., Mori, T. A., McArdle, N., Straker, L., Beilin, L. J., &amp; Eastwood, P. R. (2018). Working (longer than) 9 to 5: Are there cardiometabolic health risks for young Australian workers who report longer than 38-h working weeks? </w:t>
      </w:r>
      <w:r w:rsidRPr="00405C63">
        <w:rPr>
          <w:rFonts w:ascii="Arial" w:hAnsi="Arial" w:cs="Arial"/>
          <w:i/>
          <w:iCs/>
          <w:sz w:val="24"/>
          <w:szCs w:val="24"/>
        </w:rPr>
        <w:t>International Archives of Occupational and Environmental Health, 91</w:t>
      </w:r>
      <w:r w:rsidRPr="00405C63">
        <w:rPr>
          <w:rFonts w:ascii="Arial" w:hAnsi="Arial" w:cs="Arial"/>
          <w:sz w:val="24"/>
          <w:szCs w:val="24"/>
        </w:rPr>
        <w:t xml:space="preserve">(4), 403–412. </w:t>
      </w:r>
      <w:hyperlink r:id="rId20" w:history="1">
        <w:r w:rsidRPr="00405C63">
          <w:rPr>
            <w:rStyle w:val="Hyperlink"/>
            <w:rFonts w:ascii="Arial" w:hAnsi="Arial" w:cs="Arial"/>
            <w:sz w:val="24"/>
            <w:szCs w:val="24"/>
          </w:rPr>
          <w:t>https://doi.org/10.1007/s00420-018-1289-4</w:t>
        </w:r>
      </w:hyperlink>
    </w:p>
    <w:p w14:paraId="4CC2E987" w14:textId="7A42F091" w:rsidR="003221ED" w:rsidRDefault="003221ED" w:rsidP="004A023F">
      <w:pPr>
        <w:ind w:left="720" w:hanging="720"/>
        <w:rPr>
          <w:rFonts w:ascii="Arial" w:hAnsi="Arial" w:cs="Arial"/>
          <w:sz w:val="24"/>
          <w:szCs w:val="24"/>
        </w:rPr>
      </w:pPr>
      <w:r w:rsidRPr="003221ED">
        <w:rPr>
          <w:rFonts w:ascii="Arial" w:hAnsi="Arial" w:cs="Arial"/>
          <w:sz w:val="24"/>
          <w:szCs w:val="24"/>
        </w:rPr>
        <w:t xml:space="preserve">Rivera, A. S., </w:t>
      </w:r>
      <w:proofErr w:type="spellStart"/>
      <w:r w:rsidRPr="003221ED">
        <w:rPr>
          <w:rFonts w:ascii="Arial" w:hAnsi="Arial" w:cs="Arial"/>
          <w:sz w:val="24"/>
          <w:szCs w:val="24"/>
        </w:rPr>
        <w:t>Akanbi</w:t>
      </w:r>
      <w:proofErr w:type="spellEnd"/>
      <w:r w:rsidRPr="003221ED">
        <w:rPr>
          <w:rFonts w:ascii="Arial" w:hAnsi="Arial" w:cs="Arial"/>
          <w:sz w:val="24"/>
          <w:szCs w:val="24"/>
        </w:rPr>
        <w:t xml:space="preserve">, M., </w:t>
      </w:r>
      <w:proofErr w:type="spellStart"/>
      <w:r w:rsidRPr="003221ED">
        <w:rPr>
          <w:rFonts w:ascii="Arial" w:hAnsi="Arial" w:cs="Arial"/>
          <w:sz w:val="24"/>
          <w:szCs w:val="24"/>
        </w:rPr>
        <w:t>O’Dwyer</w:t>
      </w:r>
      <w:proofErr w:type="spellEnd"/>
      <w:r w:rsidRPr="003221ED">
        <w:rPr>
          <w:rFonts w:ascii="Arial" w:hAnsi="Arial" w:cs="Arial"/>
          <w:sz w:val="24"/>
          <w:szCs w:val="24"/>
        </w:rPr>
        <w:t xml:space="preserve">, L. C., &amp; McHugh, M. (2020). Shift work and long work hours and their association with chronic health conditions: A systematic review of systematic reviews with meta-analyses. </w:t>
      </w:r>
      <w:r w:rsidRPr="006A33D6">
        <w:rPr>
          <w:rFonts w:ascii="Arial" w:hAnsi="Arial" w:cs="Arial"/>
          <w:i/>
          <w:iCs/>
          <w:sz w:val="24"/>
          <w:szCs w:val="24"/>
        </w:rPr>
        <w:t>PLOS ONE, 15</w:t>
      </w:r>
      <w:r w:rsidRPr="003221ED">
        <w:rPr>
          <w:rFonts w:ascii="Arial" w:hAnsi="Arial" w:cs="Arial"/>
          <w:sz w:val="24"/>
          <w:szCs w:val="24"/>
        </w:rPr>
        <w:t xml:space="preserve">(4), e0231037. </w:t>
      </w:r>
      <w:hyperlink r:id="rId21" w:history="1">
        <w:r w:rsidR="00B4028B" w:rsidRPr="00843D71">
          <w:rPr>
            <w:rStyle w:val="Hyperlink"/>
            <w:rFonts w:ascii="Arial" w:hAnsi="Arial" w:cs="Arial"/>
            <w:sz w:val="24"/>
            <w:szCs w:val="24"/>
          </w:rPr>
          <w:t>https://doi.org/10.1371/journal.pone.0231037</w:t>
        </w:r>
      </w:hyperlink>
    </w:p>
    <w:p w14:paraId="7513F630" w14:textId="14066E12" w:rsidR="00FD2256" w:rsidRDefault="00121F2E" w:rsidP="004A023F">
      <w:pPr>
        <w:ind w:left="720" w:hanging="720"/>
        <w:rPr>
          <w:rFonts w:ascii="Arial" w:hAnsi="Arial" w:cs="Arial"/>
          <w:sz w:val="24"/>
          <w:szCs w:val="24"/>
        </w:rPr>
      </w:pPr>
      <w:r w:rsidRPr="00121F2E">
        <w:rPr>
          <w:rFonts w:ascii="Arial" w:hAnsi="Arial" w:cs="Arial"/>
          <w:sz w:val="24"/>
          <w:szCs w:val="24"/>
        </w:rPr>
        <w:t xml:space="preserve">Sasaki, T., Iwasaki, K., Oka, T., &amp; </w:t>
      </w:r>
      <w:proofErr w:type="spellStart"/>
      <w:r w:rsidRPr="00121F2E">
        <w:rPr>
          <w:rFonts w:ascii="Arial" w:hAnsi="Arial" w:cs="Arial"/>
          <w:sz w:val="24"/>
          <w:szCs w:val="24"/>
        </w:rPr>
        <w:t>Hisanaga</w:t>
      </w:r>
      <w:proofErr w:type="spellEnd"/>
      <w:r w:rsidRPr="00121F2E">
        <w:rPr>
          <w:rFonts w:ascii="Arial" w:hAnsi="Arial" w:cs="Arial"/>
          <w:sz w:val="24"/>
          <w:szCs w:val="24"/>
        </w:rPr>
        <w:t xml:space="preserve">, N. (1999). Association of Working Hours with Biological Indices Related to the Cardiovascular System among Engineers in a Machinery Manufacturing Company. </w:t>
      </w:r>
      <w:r w:rsidRPr="00121F2E">
        <w:rPr>
          <w:rFonts w:ascii="Arial" w:hAnsi="Arial" w:cs="Arial"/>
          <w:i/>
          <w:iCs/>
          <w:sz w:val="24"/>
          <w:szCs w:val="24"/>
        </w:rPr>
        <w:t>Industrial Health, 37</w:t>
      </w:r>
      <w:r w:rsidRPr="00121F2E">
        <w:rPr>
          <w:rFonts w:ascii="Arial" w:hAnsi="Arial" w:cs="Arial"/>
          <w:sz w:val="24"/>
          <w:szCs w:val="24"/>
        </w:rPr>
        <w:t xml:space="preserve">(4), 457–463. </w:t>
      </w:r>
      <w:hyperlink r:id="rId22" w:history="1">
        <w:r w:rsidRPr="00121F2E">
          <w:rPr>
            <w:rStyle w:val="Hyperlink"/>
            <w:rFonts w:ascii="Arial" w:hAnsi="Arial" w:cs="Arial"/>
            <w:sz w:val="24"/>
            <w:szCs w:val="24"/>
          </w:rPr>
          <w:t>https://doi.org/10.2486/indhealth.37.457</w:t>
        </w:r>
      </w:hyperlink>
    </w:p>
    <w:p w14:paraId="3AE0E00E" w14:textId="7EFF3502" w:rsidR="00B4028B" w:rsidRDefault="00237691" w:rsidP="004A023F">
      <w:pPr>
        <w:ind w:left="720" w:hanging="720"/>
        <w:rPr>
          <w:rFonts w:ascii="Arial" w:hAnsi="Arial" w:cs="Arial"/>
          <w:sz w:val="24"/>
          <w:szCs w:val="24"/>
        </w:rPr>
      </w:pPr>
      <w:r w:rsidRPr="00B4028B">
        <w:rPr>
          <w:rFonts w:ascii="Arial" w:hAnsi="Arial" w:cs="Arial"/>
          <w:sz w:val="24"/>
          <w:szCs w:val="24"/>
        </w:rPr>
        <w:t>The Fair</w:t>
      </w:r>
      <w:r w:rsidR="00B4028B" w:rsidRPr="00B4028B">
        <w:rPr>
          <w:rFonts w:ascii="Arial" w:hAnsi="Arial" w:cs="Arial"/>
          <w:sz w:val="24"/>
          <w:szCs w:val="24"/>
        </w:rPr>
        <w:t xml:space="preserve"> Labor Standards Act of 1938,</w:t>
      </w:r>
      <w:r>
        <w:rPr>
          <w:rFonts w:ascii="Arial" w:hAnsi="Arial" w:cs="Arial"/>
          <w:sz w:val="24"/>
          <w:szCs w:val="24"/>
        </w:rPr>
        <w:t xml:space="preserve"> </w:t>
      </w:r>
      <w:r w:rsidR="00B4028B" w:rsidRPr="00B4028B">
        <w:rPr>
          <w:rFonts w:ascii="Arial" w:hAnsi="Arial" w:cs="Arial"/>
          <w:sz w:val="24"/>
          <w:szCs w:val="24"/>
        </w:rPr>
        <w:t xml:space="preserve">29 U.S.C. </w:t>
      </w:r>
      <w:r w:rsidRPr="00237691">
        <w:rPr>
          <w:rFonts w:ascii="Arial" w:hAnsi="Arial" w:cs="Arial"/>
          <w:sz w:val="24"/>
          <w:szCs w:val="24"/>
        </w:rPr>
        <w:t>§</w:t>
      </w:r>
      <w:r>
        <w:rPr>
          <w:rFonts w:ascii="Arial" w:hAnsi="Arial" w:cs="Arial"/>
          <w:sz w:val="24"/>
          <w:szCs w:val="24"/>
        </w:rPr>
        <w:t xml:space="preserve"> </w:t>
      </w:r>
      <w:r w:rsidR="00B4028B" w:rsidRPr="00B4028B">
        <w:rPr>
          <w:rFonts w:ascii="Arial" w:hAnsi="Arial" w:cs="Arial"/>
          <w:sz w:val="24"/>
          <w:szCs w:val="24"/>
        </w:rPr>
        <w:t xml:space="preserve">201, </w:t>
      </w:r>
      <w:r w:rsidR="00B4028B" w:rsidRPr="00237691">
        <w:rPr>
          <w:rFonts w:ascii="Arial" w:hAnsi="Arial" w:cs="Arial"/>
          <w:i/>
          <w:iCs/>
          <w:sz w:val="24"/>
          <w:szCs w:val="24"/>
        </w:rPr>
        <w:t>et seq</w:t>
      </w:r>
      <w:r w:rsidR="00B4028B" w:rsidRPr="00B4028B">
        <w:rPr>
          <w:rFonts w:ascii="Arial" w:hAnsi="Arial" w:cs="Arial"/>
          <w:sz w:val="24"/>
          <w:szCs w:val="24"/>
        </w:rPr>
        <w:t>.</w:t>
      </w:r>
      <w:r w:rsidR="001F14D9">
        <w:rPr>
          <w:rFonts w:ascii="Arial" w:hAnsi="Arial" w:cs="Arial"/>
          <w:sz w:val="24"/>
          <w:szCs w:val="24"/>
        </w:rPr>
        <w:t xml:space="preserve"> (1938).</w:t>
      </w:r>
    </w:p>
    <w:p w14:paraId="5C0FED43" w14:textId="346385A0" w:rsidR="00C470F7" w:rsidRDefault="000740F2" w:rsidP="004A023F">
      <w:pPr>
        <w:ind w:left="720" w:hanging="720"/>
        <w:rPr>
          <w:rFonts w:ascii="Arial" w:hAnsi="Arial" w:cs="Arial"/>
          <w:sz w:val="24"/>
          <w:szCs w:val="24"/>
        </w:rPr>
      </w:pPr>
      <w:r w:rsidRPr="000740F2">
        <w:rPr>
          <w:rFonts w:ascii="Arial" w:hAnsi="Arial" w:cs="Arial"/>
          <w:sz w:val="24"/>
          <w:szCs w:val="24"/>
        </w:rPr>
        <w:t xml:space="preserve">Virani, S. S., Alonso, A., Aparicio, H. J., Benjamin, E. J., </w:t>
      </w:r>
      <w:proofErr w:type="spellStart"/>
      <w:r w:rsidRPr="000740F2">
        <w:rPr>
          <w:rFonts w:ascii="Arial" w:hAnsi="Arial" w:cs="Arial"/>
          <w:sz w:val="24"/>
          <w:szCs w:val="24"/>
        </w:rPr>
        <w:t>Bittencourt</w:t>
      </w:r>
      <w:proofErr w:type="spellEnd"/>
      <w:r w:rsidRPr="000740F2">
        <w:rPr>
          <w:rFonts w:ascii="Arial" w:hAnsi="Arial" w:cs="Arial"/>
          <w:sz w:val="24"/>
          <w:szCs w:val="24"/>
        </w:rPr>
        <w:t xml:space="preserve">, M. S., Callaway, C. W., Carson, A. P., Chamberlain, A. M., Cheng, S., </w:t>
      </w:r>
      <w:proofErr w:type="spellStart"/>
      <w:r w:rsidRPr="000740F2">
        <w:rPr>
          <w:rFonts w:ascii="Arial" w:hAnsi="Arial" w:cs="Arial"/>
          <w:sz w:val="24"/>
          <w:szCs w:val="24"/>
        </w:rPr>
        <w:t>Delling</w:t>
      </w:r>
      <w:proofErr w:type="spellEnd"/>
      <w:r w:rsidRPr="000740F2">
        <w:rPr>
          <w:rFonts w:ascii="Arial" w:hAnsi="Arial" w:cs="Arial"/>
          <w:sz w:val="24"/>
          <w:szCs w:val="24"/>
        </w:rPr>
        <w:t xml:space="preserve">, F. N., Elkind, M. S. V., Evenson, K. R., Ferguson, J. F., Gupta, D. K., Khan, S. S., </w:t>
      </w:r>
      <w:proofErr w:type="spellStart"/>
      <w:r w:rsidRPr="000740F2">
        <w:rPr>
          <w:rFonts w:ascii="Arial" w:hAnsi="Arial" w:cs="Arial"/>
          <w:sz w:val="24"/>
          <w:szCs w:val="24"/>
        </w:rPr>
        <w:t>Kissela</w:t>
      </w:r>
      <w:proofErr w:type="spellEnd"/>
      <w:r w:rsidRPr="000740F2">
        <w:rPr>
          <w:rFonts w:ascii="Arial" w:hAnsi="Arial" w:cs="Arial"/>
          <w:sz w:val="24"/>
          <w:szCs w:val="24"/>
        </w:rPr>
        <w:t>, B. M., Knutson, K. L., Lee, C. D., Lewis, T. T., …</w:t>
      </w:r>
      <w:r w:rsidR="00794F31">
        <w:rPr>
          <w:rFonts w:ascii="Arial" w:hAnsi="Arial" w:cs="Arial"/>
          <w:sz w:val="24"/>
          <w:szCs w:val="24"/>
        </w:rPr>
        <w:t xml:space="preserve"> Tsao, C. W.</w:t>
      </w:r>
      <w:r w:rsidRPr="000740F2">
        <w:rPr>
          <w:rFonts w:ascii="Arial" w:hAnsi="Arial" w:cs="Arial"/>
          <w:sz w:val="24"/>
          <w:szCs w:val="24"/>
        </w:rPr>
        <w:t xml:space="preserve"> (2021). Heart Disease and Stroke Statistics—2021 Update. </w:t>
      </w:r>
      <w:r w:rsidRPr="00861232">
        <w:rPr>
          <w:rFonts w:ascii="Arial" w:hAnsi="Arial" w:cs="Arial"/>
          <w:i/>
          <w:iCs/>
          <w:sz w:val="24"/>
          <w:szCs w:val="24"/>
        </w:rPr>
        <w:t>Circulation, 143</w:t>
      </w:r>
      <w:r w:rsidRPr="000740F2">
        <w:rPr>
          <w:rFonts w:ascii="Arial" w:hAnsi="Arial" w:cs="Arial"/>
          <w:sz w:val="24"/>
          <w:szCs w:val="24"/>
        </w:rPr>
        <w:t xml:space="preserve">(8), 254–743. </w:t>
      </w:r>
      <w:hyperlink r:id="rId23" w:history="1">
        <w:r w:rsidR="00D924DE" w:rsidRPr="00843D71">
          <w:rPr>
            <w:rStyle w:val="Hyperlink"/>
            <w:rFonts w:ascii="Arial" w:hAnsi="Arial" w:cs="Arial"/>
            <w:sz w:val="24"/>
            <w:szCs w:val="24"/>
          </w:rPr>
          <w:t>https://doi.org/10.1161/CIR.0000000000000950</w:t>
        </w:r>
      </w:hyperlink>
    </w:p>
    <w:p w14:paraId="7403ACF0" w14:textId="2C0EE751" w:rsidR="002C51E4" w:rsidRDefault="002C51E4" w:rsidP="004A023F">
      <w:pPr>
        <w:ind w:left="720" w:hanging="720"/>
        <w:rPr>
          <w:rFonts w:ascii="Arial" w:hAnsi="Arial" w:cs="Arial"/>
          <w:sz w:val="24"/>
          <w:szCs w:val="24"/>
        </w:rPr>
      </w:pPr>
      <w:r w:rsidRPr="002C51E4">
        <w:rPr>
          <w:rFonts w:ascii="Arial" w:hAnsi="Arial" w:cs="Arial"/>
          <w:sz w:val="24"/>
          <w:szCs w:val="24"/>
        </w:rPr>
        <w:t xml:space="preserve">Virtanen, M., Magnusson Hansson, L., Goldberg, M., Zins, M., Stenholm, S., </w:t>
      </w:r>
      <w:proofErr w:type="spellStart"/>
      <w:r w:rsidRPr="002C51E4">
        <w:rPr>
          <w:rFonts w:ascii="Arial" w:hAnsi="Arial" w:cs="Arial"/>
          <w:sz w:val="24"/>
          <w:szCs w:val="24"/>
        </w:rPr>
        <w:t>Vahtera</w:t>
      </w:r>
      <w:proofErr w:type="spellEnd"/>
      <w:r w:rsidRPr="002C51E4">
        <w:rPr>
          <w:rFonts w:ascii="Arial" w:hAnsi="Arial" w:cs="Arial"/>
          <w:sz w:val="24"/>
          <w:szCs w:val="24"/>
        </w:rPr>
        <w:t xml:space="preserve">, J., </w:t>
      </w:r>
      <w:proofErr w:type="spellStart"/>
      <w:r w:rsidRPr="002C51E4">
        <w:rPr>
          <w:rFonts w:ascii="Arial" w:hAnsi="Arial" w:cs="Arial"/>
          <w:sz w:val="24"/>
          <w:szCs w:val="24"/>
        </w:rPr>
        <w:t>Westerlund</w:t>
      </w:r>
      <w:proofErr w:type="spellEnd"/>
      <w:r w:rsidRPr="002C51E4">
        <w:rPr>
          <w:rFonts w:ascii="Arial" w:hAnsi="Arial" w:cs="Arial"/>
          <w:sz w:val="24"/>
          <w:szCs w:val="24"/>
        </w:rPr>
        <w:t xml:space="preserve">, H., &amp; </w:t>
      </w:r>
      <w:proofErr w:type="spellStart"/>
      <w:r w:rsidRPr="002C51E4">
        <w:rPr>
          <w:rFonts w:ascii="Arial" w:hAnsi="Arial" w:cs="Arial"/>
          <w:sz w:val="24"/>
          <w:szCs w:val="24"/>
        </w:rPr>
        <w:t>Kivimäki</w:t>
      </w:r>
      <w:proofErr w:type="spellEnd"/>
      <w:r w:rsidRPr="002C51E4">
        <w:rPr>
          <w:rFonts w:ascii="Arial" w:hAnsi="Arial" w:cs="Arial"/>
          <w:sz w:val="24"/>
          <w:szCs w:val="24"/>
        </w:rPr>
        <w:t xml:space="preserve">, M. (2019). Long working hours, anthropometry, lung function, blood pressure and blood-based biomarkers: Cross-sectional findings from the CONSTANCES study. </w:t>
      </w:r>
      <w:r w:rsidRPr="002C51E4">
        <w:rPr>
          <w:rFonts w:ascii="Arial" w:hAnsi="Arial" w:cs="Arial"/>
          <w:i/>
          <w:iCs/>
          <w:sz w:val="24"/>
          <w:szCs w:val="24"/>
        </w:rPr>
        <w:t>Journal of Epidemiology and Community Health, 73</w:t>
      </w:r>
      <w:r w:rsidRPr="002C51E4">
        <w:rPr>
          <w:rFonts w:ascii="Arial" w:hAnsi="Arial" w:cs="Arial"/>
          <w:sz w:val="24"/>
          <w:szCs w:val="24"/>
        </w:rPr>
        <w:t xml:space="preserve">(2), 130–135. </w:t>
      </w:r>
      <w:hyperlink r:id="rId24" w:history="1">
        <w:r w:rsidRPr="002C51E4">
          <w:rPr>
            <w:rStyle w:val="Hyperlink"/>
            <w:rFonts w:ascii="Arial" w:hAnsi="Arial" w:cs="Arial"/>
            <w:sz w:val="24"/>
            <w:szCs w:val="24"/>
          </w:rPr>
          <w:t>https://doi.org/10.1136/jech-2018-210943</w:t>
        </w:r>
      </w:hyperlink>
    </w:p>
    <w:p w14:paraId="1A4EBC72" w14:textId="77777777" w:rsidR="00D924DE" w:rsidRDefault="00D924DE">
      <w:pPr>
        <w:rPr>
          <w:rFonts w:ascii="Arial" w:hAnsi="Arial" w:cs="Arial"/>
          <w:sz w:val="24"/>
          <w:szCs w:val="24"/>
        </w:rPr>
      </w:pPr>
    </w:p>
    <w:p w14:paraId="57B0F09F" w14:textId="77777777" w:rsidR="00BB6421" w:rsidRPr="00BC5A80" w:rsidRDefault="00BB6421">
      <w:pPr>
        <w:rPr>
          <w:rFonts w:ascii="Arial" w:hAnsi="Arial" w:cs="Arial"/>
          <w:sz w:val="24"/>
          <w:szCs w:val="24"/>
        </w:rPr>
      </w:pPr>
    </w:p>
    <w:sectPr w:rsidR="00BB6421" w:rsidRPr="00BC5A80">
      <w:headerReference w:type="default" r:id="rId25"/>
      <w:footerReference w:type="default" r:id="rI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an Hicks" w:date="2021-11-02T15:32:00Z" w:initials="CH">
    <w:p w14:paraId="535BCE55" w14:textId="16915585" w:rsidR="007510F2" w:rsidRDefault="007510F2">
      <w:pPr>
        <w:pStyle w:val="CommentText"/>
      </w:pPr>
      <w:r>
        <w:rPr>
          <w:rStyle w:val="CommentReference"/>
        </w:rPr>
        <w:annotationRef/>
      </w:r>
      <w:r>
        <w:t>Explain this is an important nationwide goal.</w:t>
      </w:r>
    </w:p>
  </w:comment>
  <w:comment w:id="1" w:author="Christian Hicks" w:date="2021-11-02T15:32:00Z" w:initials="CH">
    <w:p w14:paraId="40E761BE" w14:textId="55A05014" w:rsidR="005C6CED" w:rsidRDefault="005C6CED">
      <w:pPr>
        <w:pStyle w:val="CommentText"/>
      </w:pPr>
      <w:r>
        <w:rPr>
          <w:rStyle w:val="CommentReference"/>
        </w:rPr>
        <w:annotationRef/>
      </w:r>
      <w:r>
        <w:t>Some data indicate that cholesterol may be related to working stress or more…</w:t>
      </w:r>
    </w:p>
  </w:comment>
  <w:comment w:id="2" w:author="Christian Hicks" w:date="2021-11-02T15:31:00Z" w:initials="CH">
    <w:p w14:paraId="76C84C3B" w14:textId="4033BFE0" w:rsidR="002C35AC" w:rsidRDefault="002C35AC">
      <w:pPr>
        <w:pStyle w:val="CommentText"/>
      </w:pPr>
      <w:r>
        <w:rPr>
          <w:rStyle w:val="CommentReference"/>
        </w:rPr>
        <w:annotationRef/>
      </w:r>
      <w:r>
        <w:t>More on previous associations? With work and diseases?</w:t>
      </w:r>
    </w:p>
  </w:comment>
  <w:comment w:id="3" w:author="Christian Hicks" w:date="2021-11-02T15:31:00Z" w:initials="CH">
    <w:p w14:paraId="62B11A17" w14:textId="472687EF" w:rsidR="003D4B01" w:rsidRDefault="003D4B01">
      <w:pPr>
        <w:pStyle w:val="CommentText"/>
      </w:pPr>
      <w:r>
        <w:rPr>
          <w:rStyle w:val="CommentReference"/>
        </w:rPr>
        <w:annotationRef/>
      </w:r>
      <w:r>
        <w:t xml:space="preserve">For example, in the study by smith et al, they reported that working &gt;80 hours </w:t>
      </w:r>
      <w:proofErr w:type="spellStart"/>
      <w:r>
        <w:t>assoc</w:t>
      </w:r>
      <w:proofErr w:type="spellEnd"/>
      <w:r>
        <w:t xml:space="preserve"> 3x increased in </w:t>
      </w:r>
      <w:proofErr w:type="spellStart"/>
      <w:r>
        <w:t>hihgh</w:t>
      </w:r>
      <w:proofErr w:type="spellEnd"/>
      <w:r>
        <w:t xml:space="preserve"> p among 30-50 years in 2019,</w:t>
      </w:r>
    </w:p>
  </w:comment>
  <w:comment w:id="4" w:author="Christian Hicks" w:date="2021-11-02T15:22:00Z" w:initials="CH">
    <w:p w14:paraId="6C35CECD" w14:textId="77777777" w:rsidR="00B12D80" w:rsidRDefault="00F33CBC">
      <w:pPr>
        <w:pStyle w:val="CommentText"/>
      </w:pPr>
      <w:r>
        <w:rPr>
          <w:rStyle w:val="CommentReference"/>
        </w:rPr>
        <w:annotationRef/>
      </w:r>
      <w:r w:rsidR="00041B21">
        <w:t xml:space="preserve">Combine similar studies into a single paragraph. </w:t>
      </w:r>
    </w:p>
    <w:p w14:paraId="558B589A" w14:textId="77777777" w:rsidR="00B12D80" w:rsidRDefault="00B12D80">
      <w:pPr>
        <w:pStyle w:val="CommentText"/>
      </w:pPr>
    </w:p>
    <w:p w14:paraId="7E89C467" w14:textId="4E0EE551" w:rsidR="00F33CBC" w:rsidRDefault="00304034">
      <w:pPr>
        <w:pStyle w:val="CommentText"/>
      </w:pPr>
      <w:r>
        <w:t>Describe how study populations were selected (</w:t>
      </w:r>
      <w:proofErr w:type="gramStart"/>
      <w:r>
        <w:t>e.g.</w:t>
      </w:r>
      <w:proofErr w:type="gramEnd"/>
      <w:r w:rsidR="00B12D80">
        <w:t xml:space="preserve"> “</w:t>
      </w:r>
      <w:r w:rsidR="007B360D">
        <w:t xml:space="preserve">Among a randomized selection of adults in France, a survey collecting </w:t>
      </w:r>
      <w:proofErr w:type="spellStart"/>
      <w:r w:rsidR="007B360D">
        <w:t>dat</w:t>
      </w:r>
      <w:proofErr w:type="spellEnd"/>
      <w:r w:rsidR="007B360D">
        <w:t xml:space="preserve"> on working hours…”)</w:t>
      </w:r>
    </w:p>
    <w:p w14:paraId="7A392C44" w14:textId="77777777" w:rsidR="00B12D80" w:rsidRDefault="00B12D80">
      <w:pPr>
        <w:pStyle w:val="CommentText"/>
      </w:pPr>
    </w:p>
    <w:p w14:paraId="2F7F2895" w14:textId="69FF5416" w:rsidR="00B12D80" w:rsidRDefault="004F55CC">
      <w:pPr>
        <w:pStyle w:val="CommentText"/>
      </w:pPr>
      <w:r>
        <w:t>Mention confounders</w:t>
      </w:r>
    </w:p>
  </w:comment>
  <w:comment w:id="5" w:author="Christian Hicks" w:date="2021-11-02T15:29:00Z" w:initials="CH">
    <w:p w14:paraId="49D3E783" w14:textId="77777777" w:rsidR="009C5ED6" w:rsidRDefault="009C5ED6" w:rsidP="009C5ED6">
      <w:pPr>
        <w:pStyle w:val="CommentText"/>
      </w:pPr>
      <w:r>
        <w:rPr>
          <w:rStyle w:val="CommentReference"/>
        </w:rPr>
        <w:annotationRef/>
      </w:r>
      <w:r>
        <w:t>Anthropomorphic, ages?</w:t>
      </w:r>
    </w:p>
    <w:p w14:paraId="0884EDBE" w14:textId="77777777" w:rsidR="009C5ED6" w:rsidRDefault="009C5ED6" w:rsidP="009C5ED6">
      <w:pPr>
        <w:pStyle w:val="CommentText"/>
      </w:pPr>
    </w:p>
    <w:p w14:paraId="6E2267DA" w14:textId="5E9AF663" w:rsidR="009C5ED6" w:rsidRDefault="009C5ED6">
      <w:pPr>
        <w:pStyle w:val="CommentText"/>
      </w:pPr>
      <w:r>
        <w:t>A study was conducted where the investigators examined the association.</w:t>
      </w:r>
    </w:p>
  </w:comment>
  <w:comment w:id="6" w:author="Christian Hicks" w:date="2021-11-02T15:28:00Z" w:initials="CH">
    <w:p w14:paraId="34F0607A" w14:textId="1277A3D5" w:rsidR="00A46321" w:rsidRDefault="00A46321">
      <w:pPr>
        <w:pStyle w:val="CommentText"/>
      </w:pPr>
      <w:r>
        <w:rPr>
          <w:rStyle w:val="CommentReference"/>
        </w:rPr>
        <w:annotationRef/>
      </w:r>
      <w:r>
        <w:t>Discuss direction/effect of interaction. Remove prior sentence stating no significance (</w:t>
      </w:r>
      <w:r w:rsidR="00751F45">
        <w:t>overall association should not be described)</w:t>
      </w:r>
    </w:p>
  </w:comment>
  <w:comment w:id="7" w:author="Christian Hicks" w:date="2021-11-02T15:26:00Z" w:initials="CH">
    <w:p w14:paraId="3C63034E" w14:textId="188FA8D9" w:rsidR="00206A99" w:rsidRDefault="00206A99">
      <w:pPr>
        <w:pStyle w:val="CommentText"/>
      </w:pPr>
      <w:r>
        <w:rPr>
          <w:rStyle w:val="CommentReference"/>
        </w:rPr>
        <w:annotationRef/>
      </w:r>
      <w:r w:rsidR="003F5713">
        <w:t>Smooth/condense the description of each study</w:t>
      </w:r>
    </w:p>
  </w:comment>
  <w:comment w:id="8" w:author="Christian Hicks" w:date="2021-11-02T15:33:00Z" w:initials="CH">
    <w:p w14:paraId="78BA692E" w14:textId="6C40DDBD" w:rsidR="00987684" w:rsidRDefault="00987684">
      <w:pPr>
        <w:pStyle w:val="CommentText"/>
      </w:pPr>
      <w:r>
        <w:rPr>
          <w:rStyle w:val="CommentReference"/>
        </w:rPr>
        <w:annotationRef/>
      </w:r>
      <w:r>
        <w:t>Make this fix</w:t>
      </w:r>
    </w:p>
  </w:comment>
  <w:comment w:id="9" w:author="Christian Hicks" w:date="2021-11-02T15:20:00Z" w:initials="CH">
    <w:p w14:paraId="6806D493" w14:textId="708D4D81" w:rsidR="0062029C" w:rsidRDefault="0062029C" w:rsidP="0062029C">
      <w:pPr>
        <w:pStyle w:val="CommentText"/>
      </w:pPr>
      <w:r>
        <w:rPr>
          <w:rStyle w:val="CommentReference"/>
        </w:rPr>
        <w:annotationRef/>
      </w:r>
      <w:r w:rsidR="00DB36F5">
        <w:t xml:space="preserve">Per Dr. </w:t>
      </w:r>
      <w:proofErr w:type="spellStart"/>
      <w:r w:rsidR="00DB36F5">
        <w:t>Harbertson</w:t>
      </w:r>
      <w:proofErr w:type="spellEnd"/>
      <w:r w:rsidR="00DB36F5">
        <w:t>:</w:t>
      </w:r>
    </w:p>
    <w:p w14:paraId="56FCE4AD" w14:textId="5AED98AC" w:rsidR="0062029C" w:rsidRDefault="0062029C" w:rsidP="0062029C">
      <w:pPr>
        <w:pStyle w:val="CommentText"/>
        <w:numPr>
          <w:ilvl w:val="0"/>
          <w:numId w:val="2"/>
        </w:numPr>
      </w:pPr>
      <w:r>
        <w:t>Key background, 1-2 sentences</w:t>
      </w:r>
    </w:p>
    <w:p w14:paraId="3EDDADDE" w14:textId="77777777" w:rsidR="0062029C" w:rsidRDefault="0062029C" w:rsidP="0062029C">
      <w:pPr>
        <w:pStyle w:val="CommentText"/>
        <w:numPr>
          <w:ilvl w:val="0"/>
          <w:numId w:val="2"/>
        </w:numPr>
      </w:pPr>
      <w:r>
        <w:t>Key what is unknown, 1-2 sentences</w:t>
      </w:r>
    </w:p>
    <w:p w14:paraId="59640280" w14:textId="77777777" w:rsidR="0062029C" w:rsidRDefault="0062029C" w:rsidP="0062029C">
      <w:pPr>
        <w:pStyle w:val="CommentText"/>
        <w:numPr>
          <w:ilvl w:val="0"/>
          <w:numId w:val="2"/>
        </w:numPr>
      </w:pPr>
      <w:r>
        <w:t>The current study will examine the association between exp and outcome…among</w:t>
      </w:r>
      <w:proofErr w:type="gramStart"/>
      <w:r>
        <w:t>….controlling</w:t>
      </w:r>
      <w:proofErr w:type="gramEnd"/>
      <w:r>
        <w:t xml:space="preserve"> for……</w:t>
      </w:r>
    </w:p>
    <w:p w14:paraId="6CC0D512" w14:textId="77777777" w:rsidR="0062029C" w:rsidRDefault="0062029C" w:rsidP="0062029C">
      <w:pPr>
        <w:pStyle w:val="CommentText"/>
      </w:pPr>
    </w:p>
    <w:p w14:paraId="3CBAF4F2" w14:textId="77777777" w:rsidR="0062029C" w:rsidRDefault="0062029C" w:rsidP="0062029C">
      <w:pPr>
        <w:pStyle w:val="CommentText"/>
      </w:pPr>
    </w:p>
    <w:p w14:paraId="6B53C6D9" w14:textId="77777777" w:rsidR="0062029C" w:rsidRDefault="0062029C" w:rsidP="0062029C">
      <w:pPr>
        <w:pStyle w:val="CommentText"/>
      </w:pPr>
    </w:p>
    <w:p w14:paraId="080051FF" w14:textId="77777777" w:rsidR="0062029C" w:rsidRDefault="0062029C" w:rsidP="0062029C">
      <w:pPr>
        <w:pStyle w:val="CommentText"/>
      </w:pPr>
      <w:r>
        <w:t>2. What is unknown…This has not been examined among a nationwide US population</w:t>
      </w:r>
    </w:p>
    <w:p w14:paraId="0F564B21" w14:textId="77777777" w:rsidR="0062029C" w:rsidRDefault="0062029C" w:rsidP="0062029C">
      <w:pPr>
        <w:pStyle w:val="CommentText"/>
      </w:pPr>
    </w:p>
    <w:p w14:paraId="7C8CD9E5" w14:textId="77777777" w:rsidR="0062029C" w:rsidRDefault="0062029C" w:rsidP="0062029C">
      <w:pPr>
        <w:pStyle w:val="CommentText"/>
      </w:pPr>
      <w:r>
        <w:t>Using standardized cut points for working hours</w:t>
      </w:r>
    </w:p>
    <w:p w14:paraId="42902D23" w14:textId="77777777" w:rsidR="0062029C" w:rsidRDefault="0062029C" w:rsidP="0062029C">
      <w:pPr>
        <w:pStyle w:val="CommentText"/>
      </w:pPr>
    </w:p>
    <w:p w14:paraId="0685A8A1" w14:textId="302076CD" w:rsidR="0062029C" w:rsidRDefault="0062029C" w:rsidP="0062029C">
      <w:pPr>
        <w:pStyle w:val="CommentText"/>
      </w:pPr>
      <w:r>
        <w:t>The current will analyze a nationwide sample to examine the association between working hours and TBC using more standardized not previously reported.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5BCE55" w15:done="0"/>
  <w15:commentEx w15:paraId="40E761BE" w15:done="0"/>
  <w15:commentEx w15:paraId="76C84C3B" w15:done="0"/>
  <w15:commentEx w15:paraId="62B11A17" w15:done="0"/>
  <w15:commentEx w15:paraId="2F7F2895" w15:done="0"/>
  <w15:commentEx w15:paraId="6E2267DA" w15:done="0"/>
  <w15:commentEx w15:paraId="34F0607A" w15:done="0"/>
  <w15:commentEx w15:paraId="3C63034E" w15:done="0"/>
  <w15:commentEx w15:paraId="78BA692E" w15:done="0"/>
  <w15:commentEx w15:paraId="0685A8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BD88A" w16cex:dateUtc="2021-11-02T22:32:00Z"/>
  <w16cex:commentExtensible w16cex:durableId="252BD875" w16cex:dateUtc="2021-11-02T22:32:00Z"/>
  <w16cex:commentExtensible w16cex:durableId="252BD85F" w16cex:dateUtc="2021-11-02T22:31:00Z"/>
  <w16cex:commentExtensible w16cex:durableId="252BD846" w16cex:dateUtc="2021-11-02T22:31:00Z"/>
  <w16cex:commentExtensible w16cex:durableId="252BD619" w16cex:dateUtc="2021-11-02T22:22:00Z"/>
  <w16cex:commentExtensible w16cex:durableId="252BD7F1" w16cex:dateUtc="2021-11-02T22:29:00Z"/>
  <w16cex:commentExtensible w16cex:durableId="252BD79D" w16cex:dateUtc="2021-11-02T22:28:00Z"/>
  <w16cex:commentExtensible w16cex:durableId="252BD718" w16cex:dateUtc="2021-11-02T22:26:00Z"/>
  <w16cex:commentExtensible w16cex:durableId="252BD8C6" w16cex:dateUtc="2021-11-02T22:33:00Z"/>
  <w16cex:commentExtensible w16cex:durableId="252BD5AA" w16cex:dateUtc="2021-11-02T2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5BCE55" w16cid:durableId="252BD88A"/>
  <w16cid:commentId w16cid:paraId="40E761BE" w16cid:durableId="252BD875"/>
  <w16cid:commentId w16cid:paraId="76C84C3B" w16cid:durableId="252BD85F"/>
  <w16cid:commentId w16cid:paraId="62B11A17" w16cid:durableId="252BD846"/>
  <w16cid:commentId w16cid:paraId="2F7F2895" w16cid:durableId="252BD619"/>
  <w16cid:commentId w16cid:paraId="6E2267DA" w16cid:durableId="252BD7F1"/>
  <w16cid:commentId w16cid:paraId="34F0607A" w16cid:durableId="252BD79D"/>
  <w16cid:commentId w16cid:paraId="3C63034E" w16cid:durableId="252BD718"/>
  <w16cid:commentId w16cid:paraId="78BA692E" w16cid:durableId="252BD8C6"/>
  <w16cid:commentId w16cid:paraId="0685A8A1" w16cid:durableId="252BD5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2913E" w14:textId="77777777" w:rsidR="00445856" w:rsidRDefault="00445856" w:rsidP="00222B46">
      <w:pPr>
        <w:spacing w:after="0" w:line="240" w:lineRule="auto"/>
      </w:pPr>
      <w:r>
        <w:separator/>
      </w:r>
    </w:p>
  </w:endnote>
  <w:endnote w:type="continuationSeparator" w:id="0">
    <w:p w14:paraId="3E2360A3" w14:textId="77777777" w:rsidR="00445856" w:rsidRDefault="00445856"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963870"/>
      <w:docPartObj>
        <w:docPartGallery w:val="Page Numbers (Bottom of Page)"/>
        <w:docPartUnique/>
      </w:docPartObj>
    </w:sdtPr>
    <w:sdtEndPr>
      <w:rPr>
        <w:noProof/>
      </w:rPr>
    </w:sdtEndPr>
    <w:sdtContent>
      <w:p w14:paraId="412E8FDB" w14:textId="0072DE04" w:rsidR="00222B46" w:rsidRDefault="00222B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59EC62" w14:textId="77777777" w:rsidR="00222B46" w:rsidRDefault="00222B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2E6EB" w14:textId="77777777" w:rsidR="00445856" w:rsidRDefault="00445856" w:rsidP="00222B46">
      <w:pPr>
        <w:spacing w:after="0" w:line="240" w:lineRule="auto"/>
      </w:pPr>
      <w:r>
        <w:separator/>
      </w:r>
    </w:p>
  </w:footnote>
  <w:footnote w:type="continuationSeparator" w:id="0">
    <w:p w14:paraId="3AA6F7D1" w14:textId="77777777" w:rsidR="00445856" w:rsidRDefault="00445856"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3EEFC" w14:textId="03426321" w:rsidR="00222B46" w:rsidRDefault="003823F4" w:rsidP="00222B46">
    <w:pPr>
      <w:pStyle w:val="Header"/>
      <w:jc w:val="right"/>
    </w:pPr>
    <w:r>
      <w:t>Christian Hicks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1"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2885"/>
    <w:rsid w:val="00005CB1"/>
    <w:rsid w:val="000229F6"/>
    <w:rsid w:val="00034562"/>
    <w:rsid w:val="00040D84"/>
    <w:rsid w:val="00041B21"/>
    <w:rsid w:val="00046644"/>
    <w:rsid w:val="00047003"/>
    <w:rsid w:val="00050A59"/>
    <w:rsid w:val="00055424"/>
    <w:rsid w:val="000635EE"/>
    <w:rsid w:val="0006544B"/>
    <w:rsid w:val="00065BC3"/>
    <w:rsid w:val="00072D80"/>
    <w:rsid w:val="00073D34"/>
    <w:rsid w:val="000740F2"/>
    <w:rsid w:val="000975BF"/>
    <w:rsid w:val="000A2028"/>
    <w:rsid w:val="000C281C"/>
    <w:rsid w:val="000C442D"/>
    <w:rsid w:val="000C6902"/>
    <w:rsid w:val="000C6AE9"/>
    <w:rsid w:val="000D4E7E"/>
    <w:rsid w:val="000D5459"/>
    <w:rsid w:val="000E00E9"/>
    <w:rsid w:val="000E3CAB"/>
    <w:rsid w:val="000E7243"/>
    <w:rsid w:val="000F2FA8"/>
    <w:rsid w:val="000F60C7"/>
    <w:rsid w:val="0010157B"/>
    <w:rsid w:val="00102B7A"/>
    <w:rsid w:val="00106254"/>
    <w:rsid w:val="001170B9"/>
    <w:rsid w:val="00121F2E"/>
    <w:rsid w:val="0012272A"/>
    <w:rsid w:val="00123452"/>
    <w:rsid w:val="00165791"/>
    <w:rsid w:val="00167C17"/>
    <w:rsid w:val="00175C27"/>
    <w:rsid w:val="0018109F"/>
    <w:rsid w:val="00181307"/>
    <w:rsid w:val="00190B28"/>
    <w:rsid w:val="001979AA"/>
    <w:rsid w:val="001B5F9B"/>
    <w:rsid w:val="001C0581"/>
    <w:rsid w:val="001C12D6"/>
    <w:rsid w:val="001C32DE"/>
    <w:rsid w:val="001F14D9"/>
    <w:rsid w:val="00203023"/>
    <w:rsid w:val="00206A99"/>
    <w:rsid w:val="00213DCB"/>
    <w:rsid w:val="00222B46"/>
    <w:rsid w:val="0022371F"/>
    <w:rsid w:val="002250F2"/>
    <w:rsid w:val="00225838"/>
    <w:rsid w:val="00227064"/>
    <w:rsid w:val="0022736E"/>
    <w:rsid w:val="00237691"/>
    <w:rsid w:val="00241242"/>
    <w:rsid w:val="00245187"/>
    <w:rsid w:val="002540E5"/>
    <w:rsid w:val="002615BF"/>
    <w:rsid w:val="00262F6A"/>
    <w:rsid w:val="0026566B"/>
    <w:rsid w:val="00266024"/>
    <w:rsid w:val="0027093B"/>
    <w:rsid w:val="002856C0"/>
    <w:rsid w:val="00286BED"/>
    <w:rsid w:val="00290712"/>
    <w:rsid w:val="002B000E"/>
    <w:rsid w:val="002B5891"/>
    <w:rsid w:val="002C1363"/>
    <w:rsid w:val="002C35AC"/>
    <w:rsid w:val="002C51E4"/>
    <w:rsid w:val="002C6EC4"/>
    <w:rsid w:val="002C75A7"/>
    <w:rsid w:val="002D0086"/>
    <w:rsid w:val="002D4609"/>
    <w:rsid w:val="002E208C"/>
    <w:rsid w:val="002E3164"/>
    <w:rsid w:val="002F3715"/>
    <w:rsid w:val="002F7BD3"/>
    <w:rsid w:val="00304034"/>
    <w:rsid w:val="0030687A"/>
    <w:rsid w:val="003221ED"/>
    <w:rsid w:val="00335161"/>
    <w:rsid w:val="00346260"/>
    <w:rsid w:val="00350241"/>
    <w:rsid w:val="00362052"/>
    <w:rsid w:val="00377324"/>
    <w:rsid w:val="003823F4"/>
    <w:rsid w:val="00391C15"/>
    <w:rsid w:val="003A21F4"/>
    <w:rsid w:val="003A2D57"/>
    <w:rsid w:val="003B35D7"/>
    <w:rsid w:val="003B3920"/>
    <w:rsid w:val="003B6539"/>
    <w:rsid w:val="003B7A9C"/>
    <w:rsid w:val="003C6F1F"/>
    <w:rsid w:val="003C748C"/>
    <w:rsid w:val="003D4075"/>
    <w:rsid w:val="003D4B01"/>
    <w:rsid w:val="003F5713"/>
    <w:rsid w:val="003F790C"/>
    <w:rsid w:val="00405C63"/>
    <w:rsid w:val="0042327D"/>
    <w:rsid w:val="00445856"/>
    <w:rsid w:val="004478F2"/>
    <w:rsid w:val="004509ED"/>
    <w:rsid w:val="00450F5F"/>
    <w:rsid w:val="00457E06"/>
    <w:rsid w:val="00460A0A"/>
    <w:rsid w:val="004612BD"/>
    <w:rsid w:val="00467392"/>
    <w:rsid w:val="004706D3"/>
    <w:rsid w:val="00477CCE"/>
    <w:rsid w:val="00483771"/>
    <w:rsid w:val="004936F8"/>
    <w:rsid w:val="0049413C"/>
    <w:rsid w:val="004A023F"/>
    <w:rsid w:val="004A6751"/>
    <w:rsid w:val="004A77CF"/>
    <w:rsid w:val="004A7C0C"/>
    <w:rsid w:val="004C6FFB"/>
    <w:rsid w:val="004D048A"/>
    <w:rsid w:val="004D072C"/>
    <w:rsid w:val="004D60F8"/>
    <w:rsid w:val="004E2E07"/>
    <w:rsid w:val="004E4ABD"/>
    <w:rsid w:val="004E6B60"/>
    <w:rsid w:val="004F0C00"/>
    <w:rsid w:val="004F55CC"/>
    <w:rsid w:val="00516DF4"/>
    <w:rsid w:val="005472E6"/>
    <w:rsid w:val="00547AED"/>
    <w:rsid w:val="00564748"/>
    <w:rsid w:val="005675D4"/>
    <w:rsid w:val="005808D6"/>
    <w:rsid w:val="005819B1"/>
    <w:rsid w:val="0058220C"/>
    <w:rsid w:val="00586AE4"/>
    <w:rsid w:val="00586DE2"/>
    <w:rsid w:val="00596ADB"/>
    <w:rsid w:val="005A1CDA"/>
    <w:rsid w:val="005B3A34"/>
    <w:rsid w:val="005B621F"/>
    <w:rsid w:val="005B652F"/>
    <w:rsid w:val="005C4A31"/>
    <w:rsid w:val="005C6CED"/>
    <w:rsid w:val="005D5F17"/>
    <w:rsid w:val="005E4939"/>
    <w:rsid w:val="005E6899"/>
    <w:rsid w:val="005F004C"/>
    <w:rsid w:val="005F659C"/>
    <w:rsid w:val="00617C58"/>
    <w:rsid w:val="0062029C"/>
    <w:rsid w:val="00622765"/>
    <w:rsid w:val="0063168B"/>
    <w:rsid w:val="00637517"/>
    <w:rsid w:val="0064172C"/>
    <w:rsid w:val="006623CD"/>
    <w:rsid w:val="00664400"/>
    <w:rsid w:val="00664936"/>
    <w:rsid w:val="00674219"/>
    <w:rsid w:val="00676C9F"/>
    <w:rsid w:val="0068799F"/>
    <w:rsid w:val="006979B2"/>
    <w:rsid w:val="006A00DE"/>
    <w:rsid w:val="006A33D6"/>
    <w:rsid w:val="006B43AE"/>
    <w:rsid w:val="006D3F29"/>
    <w:rsid w:val="006D4632"/>
    <w:rsid w:val="006D5310"/>
    <w:rsid w:val="006D61F8"/>
    <w:rsid w:val="006E2AF8"/>
    <w:rsid w:val="006E54F7"/>
    <w:rsid w:val="006F2D81"/>
    <w:rsid w:val="007108B1"/>
    <w:rsid w:val="00721691"/>
    <w:rsid w:val="007257E0"/>
    <w:rsid w:val="007312D8"/>
    <w:rsid w:val="007316FF"/>
    <w:rsid w:val="0073405F"/>
    <w:rsid w:val="00734314"/>
    <w:rsid w:val="007420E7"/>
    <w:rsid w:val="007438F3"/>
    <w:rsid w:val="007510F2"/>
    <w:rsid w:val="00751F45"/>
    <w:rsid w:val="00760329"/>
    <w:rsid w:val="00762F38"/>
    <w:rsid w:val="0076328B"/>
    <w:rsid w:val="00794F31"/>
    <w:rsid w:val="007A595A"/>
    <w:rsid w:val="007B360D"/>
    <w:rsid w:val="007C0519"/>
    <w:rsid w:val="007C3B43"/>
    <w:rsid w:val="007D690B"/>
    <w:rsid w:val="007F4382"/>
    <w:rsid w:val="007F4589"/>
    <w:rsid w:val="00802AA2"/>
    <w:rsid w:val="008256B8"/>
    <w:rsid w:val="00837AC3"/>
    <w:rsid w:val="00846533"/>
    <w:rsid w:val="00852CC5"/>
    <w:rsid w:val="008547B8"/>
    <w:rsid w:val="00856AF9"/>
    <w:rsid w:val="00861232"/>
    <w:rsid w:val="00864267"/>
    <w:rsid w:val="00876E33"/>
    <w:rsid w:val="008813D4"/>
    <w:rsid w:val="00890EB1"/>
    <w:rsid w:val="0089385C"/>
    <w:rsid w:val="008A54AD"/>
    <w:rsid w:val="008A579E"/>
    <w:rsid w:val="008B26E4"/>
    <w:rsid w:val="008C672E"/>
    <w:rsid w:val="008D3F11"/>
    <w:rsid w:val="008E04E5"/>
    <w:rsid w:val="008E536E"/>
    <w:rsid w:val="00900A2F"/>
    <w:rsid w:val="00913FDE"/>
    <w:rsid w:val="00916CD9"/>
    <w:rsid w:val="009260C6"/>
    <w:rsid w:val="009274B7"/>
    <w:rsid w:val="00927B8A"/>
    <w:rsid w:val="0094139A"/>
    <w:rsid w:val="00951C8A"/>
    <w:rsid w:val="00956438"/>
    <w:rsid w:val="009629A2"/>
    <w:rsid w:val="00965493"/>
    <w:rsid w:val="009706FB"/>
    <w:rsid w:val="00971699"/>
    <w:rsid w:val="0097361E"/>
    <w:rsid w:val="0097778B"/>
    <w:rsid w:val="0098132B"/>
    <w:rsid w:val="0098428C"/>
    <w:rsid w:val="00986603"/>
    <w:rsid w:val="00987684"/>
    <w:rsid w:val="009A624F"/>
    <w:rsid w:val="009B085D"/>
    <w:rsid w:val="009B247B"/>
    <w:rsid w:val="009B2734"/>
    <w:rsid w:val="009C5ED6"/>
    <w:rsid w:val="009D3C58"/>
    <w:rsid w:val="009D489A"/>
    <w:rsid w:val="009E459C"/>
    <w:rsid w:val="009F51E0"/>
    <w:rsid w:val="00A03BEF"/>
    <w:rsid w:val="00A12C85"/>
    <w:rsid w:val="00A13D77"/>
    <w:rsid w:val="00A35286"/>
    <w:rsid w:val="00A449B2"/>
    <w:rsid w:val="00A46321"/>
    <w:rsid w:val="00A520F7"/>
    <w:rsid w:val="00A55A2A"/>
    <w:rsid w:val="00A6016D"/>
    <w:rsid w:val="00A64E63"/>
    <w:rsid w:val="00A6550B"/>
    <w:rsid w:val="00A71CAF"/>
    <w:rsid w:val="00A72A70"/>
    <w:rsid w:val="00A75753"/>
    <w:rsid w:val="00A91EC8"/>
    <w:rsid w:val="00A9377C"/>
    <w:rsid w:val="00AA79D4"/>
    <w:rsid w:val="00AB4FEE"/>
    <w:rsid w:val="00AB6C54"/>
    <w:rsid w:val="00AE5947"/>
    <w:rsid w:val="00B02852"/>
    <w:rsid w:val="00B10D93"/>
    <w:rsid w:val="00B120BA"/>
    <w:rsid w:val="00B12D80"/>
    <w:rsid w:val="00B3798E"/>
    <w:rsid w:val="00B4028B"/>
    <w:rsid w:val="00B412F6"/>
    <w:rsid w:val="00B45478"/>
    <w:rsid w:val="00B4617E"/>
    <w:rsid w:val="00B50068"/>
    <w:rsid w:val="00B51B43"/>
    <w:rsid w:val="00B5624D"/>
    <w:rsid w:val="00B60679"/>
    <w:rsid w:val="00B641D6"/>
    <w:rsid w:val="00B73988"/>
    <w:rsid w:val="00B76F6E"/>
    <w:rsid w:val="00B849D8"/>
    <w:rsid w:val="00B93D2A"/>
    <w:rsid w:val="00BA11C5"/>
    <w:rsid w:val="00BB6421"/>
    <w:rsid w:val="00BC5270"/>
    <w:rsid w:val="00BC5A80"/>
    <w:rsid w:val="00BD21C1"/>
    <w:rsid w:val="00BE3CA9"/>
    <w:rsid w:val="00BF1021"/>
    <w:rsid w:val="00BF73AA"/>
    <w:rsid w:val="00C01D87"/>
    <w:rsid w:val="00C14F3C"/>
    <w:rsid w:val="00C17F8A"/>
    <w:rsid w:val="00C267D2"/>
    <w:rsid w:val="00C32A03"/>
    <w:rsid w:val="00C470F7"/>
    <w:rsid w:val="00C526A3"/>
    <w:rsid w:val="00C56B3C"/>
    <w:rsid w:val="00C60943"/>
    <w:rsid w:val="00C60A90"/>
    <w:rsid w:val="00C623A4"/>
    <w:rsid w:val="00C669B5"/>
    <w:rsid w:val="00C77286"/>
    <w:rsid w:val="00C775AB"/>
    <w:rsid w:val="00C77F7E"/>
    <w:rsid w:val="00C85E4C"/>
    <w:rsid w:val="00C9079E"/>
    <w:rsid w:val="00C975A6"/>
    <w:rsid w:val="00CA03D9"/>
    <w:rsid w:val="00CA1897"/>
    <w:rsid w:val="00CA6D17"/>
    <w:rsid w:val="00CB4B0C"/>
    <w:rsid w:val="00D04BD9"/>
    <w:rsid w:val="00D06C68"/>
    <w:rsid w:val="00D1660C"/>
    <w:rsid w:val="00D168A9"/>
    <w:rsid w:val="00D21041"/>
    <w:rsid w:val="00D22277"/>
    <w:rsid w:val="00D4005B"/>
    <w:rsid w:val="00D418BF"/>
    <w:rsid w:val="00D464C6"/>
    <w:rsid w:val="00D53F66"/>
    <w:rsid w:val="00D65048"/>
    <w:rsid w:val="00D738CE"/>
    <w:rsid w:val="00D7664A"/>
    <w:rsid w:val="00D85F70"/>
    <w:rsid w:val="00D924DE"/>
    <w:rsid w:val="00DA1954"/>
    <w:rsid w:val="00DA21CD"/>
    <w:rsid w:val="00DB36F5"/>
    <w:rsid w:val="00DB511C"/>
    <w:rsid w:val="00DC2ABD"/>
    <w:rsid w:val="00DC5787"/>
    <w:rsid w:val="00DC6F62"/>
    <w:rsid w:val="00DD072F"/>
    <w:rsid w:val="00DE38DF"/>
    <w:rsid w:val="00DE6412"/>
    <w:rsid w:val="00E0761E"/>
    <w:rsid w:val="00E16A68"/>
    <w:rsid w:val="00E202EE"/>
    <w:rsid w:val="00E22A52"/>
    <w:rsid w:val="00E30648"/>
    <w:rsid w:val="00E424E0"/>
    <w:rsid w:val="00E4547B"/>
    <w:rsid w:val="00E45D63"/>
    <w:rsid w:val="00E57463"/>
    <w:rsid w:val="00E825B9"/>
    <w:rsid w:val="00E8298D"/>
    <w:rsid w:val="00E8454F"/>
    <w:rsid w:val="00E962C0"/>
    <w:rsid w:val="00E971A9"/>
    <w:rsid w:val="00EB3528"/>
    <w:rsid w:val="00EC77CE"/>
    <w:rsid w:val="00ED2443"/>
    <w:rsid w:val="00EE2434"/>
    <w:rsid w:val="00EF4C61"/>
    <w:rsid w:val="00EF54D0"/>
    <w:rsid w:val="00F14DDC"/>
    <w:rsid w:val="00F16A0C"/>
    <w:rsid w:val="00F2496D"/>
    <w:rsid w:val="00F30759"/>
    <w:rsid w:val="00F3152F"/>
    <w:rsid w:val="00F32BAE"/>
    <w:rsid w:val="00F33CBC"/>
    <w:rsid w:val="00F375C6"/>
    <w:rsid w:val="00F4548F"/>
    <w:rsid w:val="00F45554"/>
    <w:rsid w:val="00F45DEA"/>
    <w:rsid w:val="00F462A7"/>
    <w:rsid w:val="00F55F30"/>
    <w:rsid w:val="00F67521"/>
    <w:rsid w:val="00F731FA"/>
    <w:rsid w:val="00F7537E"/>
    <w:rsid w:val="00F906C9"/>
    <w:rsid w:val="00F961A7"/>
    <w:rsid w:val="00FB0405"/>
    <w:rsid w:val="00FB6B56"/>
    <w:rsid w:val="00FD2256"/>
    <w:rsid w:val="00FE0F14"/>
    <w:rsid w:val="00FE4D2C"/>
    <w:rsid w:val="00FE5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62029C"/>
    <w:rPr>
      <w:sz w:val="16"/>
      <w:szCs w:val="16"/>
    </w:rPr>
  </w:style>
  <w:style w:type="paragraph" w:styleId="CommentText">
    <w:name w:val="annotation text"/>
    <w:basedOn w:val="Normal"/>
    <w:link w:val="CommentTextChar"/>
    <w:uiPriority w:val="99"/>
    <w:semiHidden/>
    <w:unhideWhenUsed/>
    <w:rsid w:val="0062029C"/>
    <w:pPr>
      <w:spacing w:line="240" w:lineRule="auto"/>
    </w:pPr>
    <w:rPr>
      <w:sz w:val="20"/>
      <w:szCs w:val="20"/>
    </w:rPr>
  </w:style>
  <w:style w:type="character" w:customStyle="1" w:styleId="CommentTextChar">
    <w:name w:val="Comment Text Char"/>
    <w:basedOn w:val="DefaultParagraphFont"/>
    <w:link w:val="CommentText"/>
    <w:uiPriority w:val="99"/>
    <w:semiHidden/>
    <w:rsid w:val="0062029C"/>
    <w:rPr>
      <w:sz w:val="20"/>
      <w:szCs w:val="20"/>
    </w:rPr>
  </w:style>
  <w:style w:type="paragraph" w:styleId="CommentSubject">
    <w:name w:val="annotation subject"/>
    <w:basedOn w:val="CommentText"/>
    <w:next w:val="CommentText"/>
    <w:link w:val="CommentSubjectChar"/>
    <w:uiPriority w:val="99"/>
    <w:semiHidden/>
    <w:unhideWhenUsed/>
    <w:rsid w:val="0062029C"/>
    <w:rPr>
      <w:b/>
      <w:bCs/>
    </w:rPr>
  </w:style>
  <w:style w:type="character" w:customStyle="1" w:styleId="CommentSubjectChar">
    <w:name w:val="Comment Subject Char"/>
    <w:basedOn w:val="CommentTextChar"/>
    <w:link w:val="CommentSubject"/>
    <w:uiPriority w:val="99"/>
    <w:semiHidden/>
    <w:rsid w:val="006202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cdc.gov/cholesterol/risk_factors.htm" TargetMode="External"/><Relationship Id="rId18" Type="http://schemas.openxmlformats.org/officeDocument/2006/relationships/hyperlink" Target="https://doi.org/10.2486/indhealth.2016-0127"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oi.org/10.1371/journal.pone.0231037" TargetMode="External"/><Relationship Id="rId7" Type="http://schemas.openxmlformats.org/officeDocument/2006/relationships/comments" Target="comments.xml"/><Relationship Id="rId12" Type="http://schemas.openxmlformats.org/officeDocument/2006/relationships/hyperlink" Target="https://doi.org/10.1136/jech.2008.082123" TargetMode="External"/><Relationship Id="rId17" Type="http://schemas.openxmlformats.org/officeDocument/2006/relationships/hyperlink" Target="https://doi.org/10.1186/s40557-016-0149-5"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038/nrcardio.2017.189" TargetMode="External"/><Relationship Id="rId20" Type="http://schemas.openxmlformats.org/officeDocument/2006/relationships/hyperlink" Target="https://doi.org/10.1007/s00420-018-1289-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s://doi.org/10.1136/jech-2018-210943" TargetMode="External"/><Relationship Id="rId5" Type="http://schemas.openxmlformats.org/officeDocument/2006/relationships/footnotes" Target="footnotes.xml"/><Relationship Id="rId15" Type="http://schemas.openxmlformats.org/officeDocument/2006/relationships/hyperlink" Target="https://doi.org/10.1016/S0140-6736(15)60295-1" TargetMode="External"/><Relationship Id="rId23" Type="http://schemas.openxmlformats.org/officeDocument/2006/relationships/hyperlink" Target="https://doi.org/10.1161/CIR.0000000000000950" TargetMode="External"/><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hyperlink" Target="https://www.nhlbi.nih.gov/health-topics/all-publications-and-resources/atp-iii-glance-quick-desk-reference"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371/journal.pone.0254631" TargetMode="External"/><Relationship Id="rId22" Type="http://schemas.openxmlformats.org/officeDocument/2006/relationships/hyperlink" Target="https://doi.org/10.2486/indhealth.37.457"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8</Pages>
  <Words>1928</Words>
  <Characters>10993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208</cp:revision>
  <dcterms:created xsi:type="dcterms:W3CDTF">2021-10-04T01:46:00Z</dcterms:created>
  <dcterms:modified xsi:type="dcterms:W3CDTF">2021-11-02T22:54:00Z</dcterms:modified>
</cp:coreProperties>
</file>