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jc w:val="both"/>
        <w:rPr>
          <w:rFonts w:ascii="Arial" w:hAnsi="Arial" w:cs="Arial"/>
          <w:b/>
          <w:smallCaps/>
          <w:color w:val="000000" w:themeColor="text1"/>
          <w:sz w:val="26"/>
          <w:szCs w:val="26"/>
          <w14:textFill>
            <w14:solidFill>
              <w14:schemeClr w14:val="tx1"/>
            </w14:solidFill>
          </w14:textFill>
        </w:rPr>
      </w:pPr>
      <w:r>
        <w:rPr>
          <w:rFonts w:ascii="Arial" w:hAnsi="Arial" w:cs="Arial"/>
          <w:b/>
          <w:smallCaps/>
          <w:color w:val="000000" w:themeColor="text1"/>
          <w:sz w:val="26"/>
          <w:szCs w:val="26"/>
          <w14:textFill>
            <w14:solidFill>
              <w14:schemeClr w14:val="tx1"/>
            </w14:solidFill>
          </w14:textFill>
        </w:rPr>
        <w:t>DAFTAR TEMUAN-TEMUAN UTAMA DAN POIN-POIN PENGEMBANGAN</w:t>
      </w:r>
    </w:p>
    <w:p>
      <w:pPr>
        <w:spacing w:after="0"/>
        <w:jc w:val="both"/>
        <w:rPr>
          <w:rFonts w:ascii="Arial" w:hAnsi="Arial" w:cs="Arial"/>
          <w:b/>
          <w:sz w:val="28"/>
          <w:szCs w:val="28"/>
        </w:rPr>
      </w:pPr>
    </w:p>
    <w:p>
      <w:pPr>
        <w:spacing w:after="0"/>
        <w:jc w:val="both"/>
        <w:rPr>
          <w:rFonts w:ascii="Arial" w:hAnsi="Arial" w:cs="Arial"/>
          <w:b/>
          <w:sz w:val="28"/>
          <w:szCs w:val="28"/>
        </w:rPr>
      </w:pPr>
      <w:r>
        <w:rPr>
          <w:rFonts w:ascii="Arial" w:hAnsi="Arial" w:cs="Arial"/>
          <w:b/>
          <w:sz w:val="28"/>
          <w:szCs w:val="28"/>
        </w:rPr>
        <w:t>Temuan-temuan Utama</w:t>
      </w:r>
    </w:p>
    <w:p>
      <w:pPr>
        <w:spacing w:after="0"/>
        <w:jc w:val="both"/>
        <w:rPr>
          <w:rFonts w:ascii="Arial" w:hAnsi="Arial" w:cs="Arial"/>
          <w:szCs w:val="28"/>
        </w:rPr>
      </w:pPr>
    </w:p>
    <w:p>
      <w:pPr>
        <w:spacing w:after="0"/>
        <w:jc w:val="both"/>
        <w:rPr>
          <w:rFonts w:ascii="Arial" w:hAnsi="Arial" w:eastAsia="Arial" w:cs="Arial"/>
          <w:lang w:bidi="en-US"/>
        </w:rPr>
      </w:pPr>
      <w:r>
        <w:rPr>
          <w:rFonts w:ascii="Arial" w:hAnsi="Arial" w:eastAsia="Arial" w:cs="Arial"/>
          <w:lang w:bidi="en-US"/>
        </w:rPr>
        <w:t xml:space="preserve">Berikut adalah temuan bersifat kritikal terkait dengan integritas dan akurasi penyusunan laporan keuangan menggunakan aplikasi </w:t>
      </w:r>
      <w:r>
        <w:rPr>
          <w:rFonts w:ascii="Arial" w:hAnsi="Arial" w:eastAsia="Arial" w:cs="Arial"/>
          <w:i/>
          <w:lang w:bidi="en-US"/>
        </w:rPr>
        <w:t xml:space="preserve">Core Banking System </w:t>
      </w:r>
      <w:r>
        <w:rPr>
          <w:rFonts w:ascii="Arial" w:hAnsi="Arial" w:eastAsia="Arial" w:cs="Arial"/>
          <w:lang w:bidi="en-US"/>
        </w:rPr>
        <w:t>yang termasuk dalam cakupan audit:</w:t>
      </w:r>
    </w:p>
    <w:p>
      <w:pPr>
        <w:spacing w:after="0"/>
        <w:jc w:val="both"/>
        <w:rPr>
          <w:rFonts w:ascii="Arial" w:hAnsi="Arial" w:eastAsia="Arial" w:cs="Arial"/>
          <w:lang w:bidi="en-US"/>
        </w:rPr>
      </w:pPr>
    </w:p>
    <w:p>
      <w:pPr>
        <w:pStyle w:val="18"/>
        <w:numPr>
          <w:ilvl w:val="1"/>
          <w:numId w:val="1"/>
        </w:numPr>
        <w:spacing w:line="240" w:lineRule="auto"/>
        <w:ind w:left="284" w:hanging="283"/>
        <w:jc w:val="both"/>
        <w:rPr>
          <w:rFonts w:ascii="Arial" w:hAnsi="Arial" w:cs="Arial"/>
        </w:rPr>
      </w:pPr>
      <w:r>
        <w:rPr>
          <w:rFonts w:ascii="Arial" w:hAnsi="Arial" w:cs="Arial"/>
        </w:rPr>
        <w:t xml:space="preserve">Bank Belum Memiliki Standar untuk </w:t>
      </w:r>
      <w:r>
        <w:rPr>
          <w:rFonts w:ascii="Arial" w:hAnsi="Arial" w:cs="Arial"/>
          <w:i/>
        </w:rPr>
        <w:t>Hardening</w:t>
      </w:r>
      <w:r>
        <w:rPr>
          <w:rFonts w:ascii="Arial" w:hAnsi="Arial" w:cs="Arial"/>
        </w:rPr>
        <w:t xml:space="preserve"> untuk OS, DB, Aplikasi, dan Perangkat </w:t>
      </w:r>
      <w:r>
        <w:rPr>
          <w:rFonts w:ascii="Arial" w:hAnsi="Arial" w:cs="Arial"/>
          <w:i/>
        </w:rPr>
        <w:t>End User</w:t>
      </w:r>
    </w:p>
    <w:p>
      <w:pPr>
        <w:pStyle w:val="18"/>
        <w:ind w:left="284"/>
        <w:jc w:val="both"/>
      </w:pPr>
    </w:p>
    <w:p>
      <w:pPr>
        <w:pStyle w:val="18"/>
        <w:numPr>
          <w:ilvl w:val="1"/>
          <w:numId w:val="1"/>
        </w:numPr>
        <w:spacing w:line="240" w:lineRule="auto"/>
        <w:ind w:left="284" w:hanging="283"/>
        <w:jc w:val="both"/>
        <w:rPr>
          <w:rFonts w:ascii="Arial" w:hAnsi="Arial" w:cs="Arial"/>
        </w:rPr>
      </w:pPr>
      <w:r>
        <w:rPr>
          <w:rFonts w:ascii="Arial" w:hAnsi="Arial" w:cs="Arial"/>
        </w:rPr>
        <w:t>Terdapat Aktivitas yang Dilakukan oleh Vendor yang Tidak Diketahui Oleh Bank</w:t>
      </w:r>
    </w:p>
    <w:p>
      <w:pPr>
        <w:pStyle w:val="18"/>
        <w:ind w:left="284"/>
      </w:pPr>
    </w:p>
    <w:p>
      <w:pPr>
        <w:pStyle w:val="18"/>
        <w:numPr>
          <w:ilvl w:val="1"/>
          <w:numId w:val="1"/>
        </w:numPr>
        <w:spacing w:line="240" w:lineRule="auto"/>
        <w:ind w:left="284" w:hanging="283"/>
        <w:jc w:val="both"/>
        <w:rPr>
          <w:rFonts w:ascii="Arial" w:hAnsi="Arial" w:cs="Arial"/>
        </w:rPr>
      </w:pPr>
      <w:r>
        <w:rPr>
          <w:rFonts w:ascii="Arial" w:hAnsi="Arial" w:cs="Arial"/>
        </w:rPr>
        <w:t xml:space="preserve">Belum Terdapat Dokumentasi </w:t>
      </w:r>
      <w:r>
        <w:rPr>
          <w:rFonts w:ascii="Arial" w:hAnsi="Arial" w:cs="Arial"/>
          <w:i/>
        </w:rPr>
        <w:t>User Access Matrix</w:t>
      </w:r>
      <w:r>
        <w:rPr>
          <w:rFonts w:ascii="Arial" w:hAnsi="Arial" w:cs="Arial"/>
        </w:rPr>
        <w:t xml:space="preserve"> untuk Penggunaan Aplikasi </w:t>
      </w:r>
      <w:r>
        <w:rPr>
          <w:rFonts w:ascii="Arial" w:hAnsi="Arial" w:cs="Arial"/>
          <w:i/>
        </w:rPr>
        <w:t>Core Banking System</w:t>
      </w:r>
    </w:p>
    <w:p>
      <w:pPr>
        <w:pStyle w:val="18"/>
        <w:ind w:left="284"/>
      </w:pPr>
    </w:p>
    <w:p>
      <w:pPr>
        <w:pStyle w:val="18"/>
        <w:numPr>
          <w:ilvl w:val="1"/>
          <w:numId w:val="1"/>
        </w:numPr>
        <w:spacing w:line="240" w:lineRule="auto"/>
        <w:ind w:left="284" w:hanging="283"/>
        <w:jc w:val="both"/>
        <w:rPr>
          <w:rFonts w:ascii="Arial" w:hAnsi="Arial" w:cs="Arial"/>
          <w:lang w:val="nl-NL"/>
        </w:rPr>
      </w:pPr>
      <w:r>
        <w:rPr>
          <w:rFonts w:ascii="Arial" w:hAnsi="Arial" w:cs="Arial"/>
          <w:lang w:val="nl-NL"/>
        </w:rPr>
        <w:t>Perlu Peningkatan Pengelolaan Akun User yang Meninggalkan Bank</w:t>
      </w:r>
    </w:p>
    <w:p>
      <w:pPr>
        <w:pStyle w:val="18"/>
        <w:ind w:left="426"/>
        <w:jc w:val="both"/>
        <w:rPr>
          <w:lang w:val="nl-NL"/>
        </w:rPr>
      </w:pPr>
    </w:p>
    <w:p>
      <w:pPr>
        <w:spacing w:after="0"/>
        <w:jc w:val="both"/>
        <w:rPr>
          <w:rFonts w:ascii="Arial" w:hAnsi="Arial" w:cs="Arial"/>
          <w:b/>
          <w:sz w:val="28"/>
          <w:szCs w:val="28"/>
        </w:rPr>
      </w:pPr>
      <w:r>
        <w:rPr>
          <w:rFonts w:ascii="Arial" w:hAnsi="Arial" w:cs="Arial"/>
          <w:b/>
          <w:sz w:val="28"/>
          <w:szCs w:val="28"/>
        </w:rPr>
        <w:t>Poin-poin Pengembangan</w:t>
      </w:r>
    </w:p>
    <w:p>
      <w:pPr>
        <w:spacing w:after="0"/>
        <w:jc w:val="both"/>
        <w:rPr>
          <w:rFonts w:ascii="Arial" w:hAnsi="Arial" w:cs="Arial"/>
        </w:rPr>
      </w:pPr>
    </w:p>
    <w:p>
      <w:pPr>
        <w:spacing w:after="0"/>
        <w:jc w:val="both"/>
        <w:rPr>
          <w:rFonts w:ascii="Arial" w:hAnsi="Arial" w:cs="Arial"/>
        </w:rPr>
      </w:pPr>
      <w:r>
        <w:rPr>
          <w:rFonts w:ascii="Arial" w:hAnsi="Arial" w:cs="Arial"/>
        </w:rPr>
        <w:t>Berikut adalah temuan yang kami masukin sebagai aspek pengembangan dari lingkungan Teknologi Informasi yang termasuk dalam cakupan audit:</w:t>
      </w:r>
    </w:p>
    <w:p>
      <w:pPr>
        <w:pStyle w:val="18"/>
        <w:ind w:left="426"/>
        <w:jc w:val="both"/>
        <w:rPr>
          <w:rFonts w:ascii="Arial" w:hAnsi="Arial" w:cs="Arial"/>
        </w:rPr>
      </w:pPr>
    </w:p>
    <w:p>
      <w:pPr>
        <w:pStyle w:val="18"/>
        <w:numPr>
          <w:ilvl w:val="0"/>
          <w:numId w:val="2"/>
        </w:numPr>
        <w:spacing w:line="240" w:lineRule="auto"/>
        <w:ind w:left="284"/>
        <w:jc w:val="both"/>
        <w:rPr>
          <w:rFonts w:ascii="Arial" w:hAnsi="Arial" w:cs="Arial"/>
        </w:rPr>
      </w:pPr>
      <w:r>
        <w:rPr>
          <w:rFonts w:ascii="Arial" w:hAnsi="Arial" w:cs="Arial"/>
          <w:bCs/>
        </w:rPr>
        <w:t xml:space="preserve">Pembaruan Buku Pedoman Manajemen Risiko Teknologi </w:t>
      </w:r>
    </w:p>
    <w:p>
      <w:pPr>
        <w:pStyle w:val="18"/>
        <w:ind w:left="284"/>
        <w:jc w:val="both"/>
        <w:rPr>
          <w:rFonts w:ascii="Arial" w:hAnsi="Arial" w:cs="Arial"/>
          <w:lang w:val="nl-NL"/>
        </w:rPr>
      </w:pPr>
    </w:p>
    <w:p>
      <w:pPr>
        <w:pStyle w:val="18"/>
        <w:numPr>
          <w:ilvl w:val="0"/>
          <w:numId w:val="2"/>
        </w:numPr>
        <w:spacing w:line="240" w:lineRule="auto"/>
        <w:ind w:left="284"/>
        <w:jc w:val="both"/>
        <w:rPr>
          <w:rFonts w:ascii="Arial" w:hAnsi="Arial" w:cs="Arial"/>
        </w:rPr>
      </w:pPr>
      <w:r>
        <w:rPr>
          <w:rFonts w:ascii="Arial" w:hAnsi="Arial" w:cs="Arial"/>
        </w:rPr>
        <w:t xml:space="preserve">Penyesuaian Terhadap Parameter Konfigurasi Keamanan OS Aplikasi dan </w:t>
      </w:r>
      <w:r>
        <w:rPr>
          <w:rFonts w:ascii="Arial" w:hAnsi="Arial" w:cs="Arial"/>
          <w:i/>
        </w:rPr>
        <w:t>Database</w:t>
      </w:r>
    </w:p>
    <w:p>
      <w:pPr>
        <w:spacing w:after="0" w:line="240" w:lineRule="auto"/>
        <w:rPr>
          <w:rFonts w:ascii="Arial" w:hAnsi="Arial" w:cs="Arial"/>
          <w:b/>
        </w:rPr>
      </w:pPr>
      <w:r>
        <w:rPr>
          <w:rFonts w:ascii="Arial" w:hAnsi="Arial" w:cs="Arial"/>
          <w:b/>
        </w:rPr>
        <w:br w:type="page"/>
      </w:r>
    </w:p>
    <w:p>
      <w:pPr>
        <w:pStyle w:val="18"/>
        <w:numPr>
          <w:ilvl w:val="0"/>
          <w:numId w:val="1"/>
        </w:numPr>
        <w:spacing w:line="240" w:lineRule="auto"/>
        <w:ind w:left="360"/>
        <w:jc w:val="both"/>
        <w:rPr>
          <w:rFonts w:ascii="Arial" w:hAnsi="Arial" w:cs="Arial"/>
          <w:b/>
        </w:rPr>
      </w:pPr>
      <w:r>
        <w:rPr>
          <w:rFonts w:ascii="Arial" w:hAnsi="Arial" w:cs="Arial"/>
          <w:b/>
        </w:rPr>
        <w:t>TEMUAN-TEMUAN UTAMA</w:t>
      </w:r>
    </w:p>
    <w:p>
      <w:pPr>
        <w:pStyle w:val="18"/>
        <w:spacing w:line="240" w:lineRule="auto"/>
        <w:ind w:left="709"/>
        <w:jc w:val="both"/>
        <w:rPr>
          <w:rFonts w:ascii="Arial" w:hAnsi="Arial" w:cs="Arial"/>
          <w:b/>
        </w:rPr>
      </w:pPr>
    </w:p>
    <w:p>
      <w:pPr>
        <w:pStyle w:val="18"/>
        <w:numPr>
          <w:ilvl w:val="1"/>
          <w:numId w:val="1"/>
        </w:numPr>
        <w:spacing w:line="240" w:lineRule="auto"/>
        <w:ind w:left="709" w:hanging="283"/>
        <w:jc w:val="both"/>
        <w:rPr>
          <w:rFonts w:ascii="Arial" w:hAnsi="Arial" w:cs="Arial"/>
          <w:b/>
        </w:rPr>
      </w:pPr>
      <w:r>
        <w:rPr>
          <w:rFonts w:ascii="Arial" w:hAnsi="Arial" w:cs="Arial"/>
          <w:b/>
        </w:rPr>
        <w:t xml:space="preserve">Bank Belum Memiliki Standar untuk </w:t>
      </w:r>
      <w:r>
        <w:rPr>
          <w:rFonts w:ascii="Arial" w:hAnsi="Arial" w:cs="Arial"/>
          <w:b/>
          <w:i/>
        </w:rPr>
        <w:t>Hardening</w:t>
      </w:r>
      <w:r>
        <w:rPr>
          <w:rFonts w:ascii="Arial" w:hAnsi="Arial" w:cs="Arial"/>
          <w:b/>
        </w:rPr>
        <w:t xml:space="preserve"> untuk OS, DB, Aplikasi, dan Perangkat </w:t>
      </w:r>
      <w:r>
        <w:rPr>
          <w:rFonts w:ascii="Arial" w:hAnsi="Arial" w:cs="Arial"/>
          <w:b/>
          <w:i/>
        </w:rPr>
        <w:t>End User</w:t>
      </w:r>
    </w:p>
    <w:p>
      <w:pPr>
        <w:pStyle w:val="18"/>
        <w:spacing w:line="240" w:lineRule="auto"/>
        <w:ind w:left="709"/>
        <w:jc w:val="both"/>
        <w:rPr>
          <w:rFonts w:ascii="Arial" w:hAnsi="Arial" w:cs="Arial"/>
          <w:b/>
        </w:rPr>
      </w:pPr>
    </w:p>
    <w:p>
      <w:pPr>
        <w:pStyle w:val="18"/>
        <w:spacing w:line="240" w:lineRule="auto"/>
        <w:ind w:left="709"/>
        <w:jc w:val="both"/>
        <w:rPr>
          <w:rFonts w:ascii="Arial" w:hAnsi="Arial" w:cs="Arial"/>
          <w:b/>
        </w:rPr>
      </w:pPr>
      <w:r>
        <w:rPr>
          <w:rFonts w:ascii="Arial" w:hAnsi="Arial" w:cs="Arial"/>
          <w:b/>
        </w:rPr>
        <w:t>Kondisi:</w:t>
      </w:r>
    </w:p>
    <w:p>
      <w:pPr>
        <w:pStyle w:val="18"/>
        <w:spacing w:line="240" w:lineRule="auto"/>
        <w:ind w:left="709"/>
        <w:jc w:val="both"/>
        <w:rPr>
          <w:rFonts w:ascii="Arial" w:hAnsi="Arial" w:cs="Arial"/>
          <w:bCs/>
          <w:lang w:val="nl-NL"/>
        </w:rPr>
      </w:pPr>
      <w:r>
        <w:rPr>
          <w:rFonts w:ascii="Arial" w:hAnsi="Arial" w:cs="Arial"/>
          <w:bCs/>
          <w:lang w:val="nl-NL"/>
        </w:rPr>
        <w:t xml:space="preserve">Berdasarkan observasi dan pemeriksaan yang dilakukan, bank telah mengatur kewajiban untuk pelaksanaan hardening. Hal ini tercakup dalam Buku Pedoman Manajemen Risiko Teknologi, Buku 2C : Pedoman Umum, Bab IV: Pengelolaan Konfigurasi Dan Sarana, No. 37/KEP.DIR/TSI/2019. Namun, Bank belum memiliki standar </w:t>
      </w:r>
      <w:r>
        <w:rPr>
          <w:rFonts w:ascii="Arial" w:hAnsi="Arial" w:cs="Arial"/>
          <w:bCs/>
          <w:i/>
          <w:lang w:val="nl-NL"/>
        </w:rPr>
        <w:t>hardening</w:t>
      </w:r>
      <w:r>
        <w:rPr>
          <w:rFonts w:ascii="Arial" w:hAnsi="Arial" w:cs="Arial"/>
          <w:bCs/>
          <w:lang w:val="nl-NL"/>
        </w:rPr>
        <w:t xml:space="preserve"> yang dapat digunakan untuk OS, DB, dan Aplikasi untuk </w:t>
      </w:r>
      <w:r>
        <w:rPr>
          <w:rFonts w:ascii="Arial" w:hAnsi="Arial" w:cs="Arial"/>
          <w:bCs/>
          <w:i/>
          <w:lang w:val="nl-NL"/>
        </w:rPr>
        <w:t xml:space="preserve">Core Banking System </w:t>
      </w:r>
      <w:r>
        <w:rPr>
          <w:rFonts w:ascii="Arial" w:hAnsi="Arial" w:cs="Arial"/>
          <w:bCs/>
          <w:lang w:val="nl-NL"/>
        </w:rPr>
        <w:t xml:space="preserve">Konven (T24 Konven) dan </w:t>
      </w:r>
      <w:r>
        <w:rPr>
          <w:rFonts w:ascii="Arial" w:hAnsi="Arial" w:cs="Arial"/>
          <w:bCs/>
          <w:i/>
          <w:lang w:val="nl-NL"/>
        </w:rPr>
        <w:t xml:space="preserve">Core Banking System </w:t>
      </w:r>
      <w:r>
        <w:rPr>
          <w:rFonts w:ascii="Arial" w:hAnsi="Arial" w:cs="Arial"/>
          <w:bCs/>
          <w:lang w:val="nl-NL"/>
        </w:rPr>
        <w:t xml:space="preserve">Syariah (T24 Syariah). </w:t>
      </w:r>
    </w:p>
    <w:p>
      <w:pPr>
        <w:pStyle w:val="18"/>
        <w:spacing w:line="240" w:lineRule="auto"/>
        <w:ind w:left="709"/>
        <w:jc w:val="both"/>
        <w:rPr>
          <w:rFonts w:ascii="Arial" w:hAnsi="Arial" w:cs="Arial"/>
          <w:bCs/>
          <w:lang w:val="nl-NL"/>
        </w:rPr>
      </w:pPr>
    </w:p>
    <w:p>
      <w:pPr>
        <w:pStyle w:val="18"/>
        <w:spacing w:line="240" w:lineRule="auto"/>
        <w:ind w:left="709"/>
        <w:jc w:val="both"/>
        <w:rPr>
          <w:rFonts w:ascii="Arial" w:hAnsi="Arial" w:cs="Arial"/>
          <w:bCs/>
          <w:lang w:val="nl-NL"/>
        </w:rPr>
      </w:pPr>
      <w:r>
        <w:rPr>
          <w:rFonts w:ascii="Arial" w:hAnsi="Arial" w:cs="Arial"/>
          <w:bCs/>
          <w:lang w:val="nl-NL"/>
        </w:rPr>
        <w:t xml:space="preserve">Dalam melakukan pengaman Teknologi Informasi, Bank juga telah menerapkan standar yang direkomendasikan dari vendor untuk pelaksanaan </w:t>
      </w:r>
      <w:r>
        <w:rPr>
          <w:rFonts w:ascii="Arial" w:hAnsi="Arial" w:cs="Arial"/>
          <w:bCs/>
          <w:i/>
          <w:lang w:val="nl-NL"/>
        </w:rPr>
        <w:t>hardening</w:t>
      </w:r>
      <w:r>
        <w:rPr>
          <w:rFonts w:ascii="Arial" w:hAnsi="Arial" w:cs="Arial"/>
          <w:bCs/>
          <w:lang w:val="nl-NL"/>
        </w:rPr>
        <w:t xml:space="preserve"> terhadap OS, DB, dan Aplikasi.  Namun, saat ini bank belum menetapkan standar </w:t>
      </w:r>
      <w:r>
        <w:rPr>
          <w:rFonts w:ascii="Arial" w:hAnsi="Arial" w:cs="Arial"/>
          <w:bCs/>
          <w:i/>
          <w:lang w:val="nl-NL"/>
        </w:rPr>
        <w:t>hardening</w:t>
      </w:r>
      <w:r>
        <w:rPr>
          <w:rFonts w:ascii="Arial" w:hAnsi="Arial" w:cs="Arial"/>
          <w:bCs/>
          <w:lang w:val="nl-NL"/>
        </w:rPr>
        <w:t xml:space="preserve"> yang baku untuk dikonfigurasikan di OS, DB, Aplikasi, dan Perangkat </w:t>
      </w:r>
      <w:r>
        <w:rPr>
          <w:rFonts w:ascii="Arial" w:hAnsi="Arial" w:cs="Arial"/>
          <w:bCs/>
          <w:i/>
          <w:lang w:val="nl-NL"/>
        </w:rPr>
        <w:t>End User</w:t>
      </w:r>
      <w:r>
        <w:rPr>
          <w:rFonts w:ascii="Arial" w:hAnsi="Arial" w:cs="Arial"/>
          <w:bCs/>
          <w:lang w:val="nl-NL"/>
        </w:rPr>
        <w:t>.</w:t>
      </w:r>
    </w:p>
    <w:p>
      <w:pPr>
        <w:pStyle w:val="18"/>
        <w:spacing w:after="0" w:line="240" w:lineRule="auto"/>
        <w:ind w:left="1069"/>
        <w:jc w:val="both"/>
        <w:rPr>
          <w:rFonts w:ascii="Arial" w:hAnsi="Arial" w:cs="Arial"/>
          <w:b/>
          <w:lang w:val="nl-NL"/>
        </w:rPr>
      </w:pPr>
    </w:p>
    <w:p>
      <w:pPr>
        <w:pStyle w:val="18"/>
        <w:spacing w:line="240" w:lineRule="auto"/>
        <w:ind w:left="709"/>
        <w:jc w:val="both"/>
        <w:rPr>
          <w:rFonts w:ascii="Arial" w:hAnsi="Arial" w:cs="Arial"/>
          <w:b/>
          <w:lang w:val="nl-NL"/>
        </w:rPr>
      </w:pPr>
      <w:r>
        <w:rPr>
          <w:rFonts w:ascii="Arial" w:hAnsi="Arial" w:cs="Arial"/>
          <w:b/>
          <w:lang w:val="nl-NL"/>
        </w:rPr>
        <w:t>Risiko:</w:t>
      </w:r>
    </w:p>
    <w:p>
      <w:pPr>
        <w:pStyle w:val="18"/>
        <w:spacing w:after="0" w:line="240" w:lineRule="auto"/>
        <w:ind w:left="709"/>
        <w:contextualSpacing w:val="0"/>
        <w:jc w:val="both"/>
        <w:rPr>
          <w:rFonts w:ascii="Arial" w:hAnsi="Arial" w:cs="Arial"/>
          <w:bCs/>
          <w:lang w:val="nl-NL"/>
        </w:rPr>
      </w:pPr>
      <w:r>
        <w:rPr>
          <w:rFonts w:ascii="Arial" w:hAnsi="Arial" w:cs="Arial"/>
          <w:bCs/>
          <w:lang w:val="nl-NL"/>
        </w:rPr>
        <w:t xml:space="preserve">Tidak adanya standar untuk pelaksanaan atau implementasi </w:t>
      </w:r>
      <w:r>
        <w:rPr>
          <w:rFonts w:ascii="Arial" w:hAnsi="Arial" w:cs="Arial"/>
          <w:bCs/>
          <w:i/>
          <w:lang w:val="nl-NL"/>
        </w:rPr>
        <w:t>hardening</w:t>
      </w:r>
      <w:r>
        <w:rPr>
          <w:rFonts w:ascii="Arial" w:hAnsi="Arial" w:cs="Arial"/>
          <w:bCs/>
          <w:lang w:val="nl-NL"/>
        </w:rPr>
        <w:t xml:space="preserve"> pada OS, DB, Aplikasi dan Perangkat </w:t>
      </w:r>
      <w:r>
        <w:rPr>
          <w:rFonts w:ascii="Arial" w:hAnsi="Arial" w:cs="Arial"/>
          <w:bCs/>
          <w:i/>
          <w:lang w:val="nl-NL"/>
        </w:rPr>
        <w:t>End User</w:t>
      </w:r>
      <w:r>
        <w:rPr>
          <w:rFonts w:ascii="Arial" w:hAnsi="Arial" w:cs="Arial"/>
          <w:bCs/>
          <w:lang w:val="nl-NL"/>
        </w:rPr>
        <w:t xml:space="preserve"> dapat berimplikasi implementasi keamanan sistem yang tidak terstandar, sehingga menyebabkan terdapatnya celah keamanan yang berakibat pada serangan dan kejahatan siber.</w:t>
      </w:r>
    </w:p>
    <w:p>
      <w:pPr>
        <w:pStyle w:val="18"/>
        <w:spacing w:line="240" w:lineRule="auto"/>
        <w:ind w:left="709"/>
        <w:jc w:val="both"/>
        <w:rPr>
          <w:rFonts w:ascii="Arial" w:hAnsi="Arial" w:cs="Arial"/>
          <w:bCs/>
          <w:lang w:val="nl-NL"/>
        </w:rPr>
      </w:pPr>
    </w:p>
    <w:p>
      <w:pPr>
        <w:pStyle w:val="18"/>
        <w:spacing w:after="0" w:line="240" w:lineRule="auto"/>
        <w:ind w:left="709"/>
        <w:contextualSpacing w:val="0"/>
        <w:jc w:val="both"/>
        <w:rPr>
          <w:rFonts w:ascii="Arial" w:hAnsi="Arial" w:cs="Arial"/>
          <w:b/>
        </w:rPr>
      </w:pPr>
      <w:r>
        <w:rPr>
          <w:rFonts w:ascii="Arial" w:hAnsi="Arial" w:cs="Arial"/>
          <w:b/>
        </w:rPr>
        <w:t>Rekomendasi:</w:t>
      </w:r>
    </w:p>
    <w:p>
      <w:pPr>
        <w:pStyle w:val="18"/>
        <w:numPr>
          <w:ilvl w:val="0"/>
          <w:numId w:val="3"/>
        </w:numPr>
        <w:spacing w:after="0" w:line="240" w:lineRule="auto"/>
        <w:contextualSpacing w:val="0"/>
        <w:jc w:val="both"/>
        <w:rPr>
          <w:rFonts w:ascii="Arial" w:hAnsi="Arial" w:cs="Arial"/>
          <w:b/>
          <w:lang w:val="nl-NL"/>
        </w:rPr>
      </w:pPr>
      <w:r>
        <w:rPr>
          <w:rFonts w:ascii="Arial" w:hAnsi="Arial" w:cs="Arial"/>
          <w:bCs/>
          <w:lang w:val="nl-NL"/>
        </w:rPr>
        <w:t xml:space="preserve">Bank menetapkan standar </w:t>
      </w:r>
      <w:r>
        <w:rPr>
          <w:rFonts w:ascii="Arial" w:hAnsi="Arial" w:cs="Arial"/>
          <w:bCs/>
          <w:i/>
          <w:lang w:val="nl-NL"/>
        </w:rPr>
        <w:t>hardening</w:t>
      </w:r>
      <w:r>
        <w:rPr>
          <w:rFonts w:ascii="Arial" w:hAnsi="Arial" w:cs="Arial"/>
          <w:bCs/>
          <w:lang w:val="nl-NL"/>
        </w:rPr>
        <w:t xml:space="preserve"> terhadap OS, DB, Aplikasi, dan Perangkan </w:t>
      </w:r>
      <w:r>
        <w:rPr>
          <w:rFonts w:ascii="Arial" w:hAnsi="Arial" w:cs="Arial"/>
          <w:bCs/>
          <w:i/>
          <w:lang w:val="nl-NL"/>
        </w:rPr>
        <w:t>End User</w:t>
      </w:r>
      <w:r>
        <w:rPr>
          <w:rFonts w:ascii="Arial" w:hAnsi="Arial" w:cs="Arial"/>
          <w:bCs/>
          <w:lang w:val="nl-NL"/>
        </w:rPr>
        <w:t>.</w:t>
      </w:r>
    </w:p>
    <w:p>
      <w:pPr>
        <w:pStyle w:val="18"/>
        <w:numPr>
          <w:ilvl w:val="0"/>
          <w:numId w:val="3"/>
        </w:numPr>
        <w:spacing w:after="0" w:line="240" w:lineRule="auto"/>
        <w:contextualSpacing w:val="0"/>
        <w:jc w:val="both"/>
        <w:rPr>
          <w:rFonts w:ascii="Arial" w:hAnsi="Arial" w:cs="Arial"/>
          <w:b/>
          <w:lang w:val="nl-NL"/>
        </w:rPr>
      </w:pPr>
      <w:r>
        <w:rPr>
          <w:rFonts w:ascii="Arial" w:hAnsi="Arial" w:cs="Arial"/>
          <w:bCs/>
          <w:lang w:val="nl-NL"/>
        </w:rPr>
        <w:t xml:space="preserve">Bank melakukan implementasi terhadap standar </w:t>
      </w:r>
      <w:r>
        <w:rPr>
          <w:rFonts w:ascii="Arial" w:hAnsi="Arial" w:cs="Arial"/>
          <w:bCs/>
          <w:i/>
          <w:lang w:val="nl-NL"/>
        </w:rPr>
        <w:t>hardening</w:t>
      </w:r>
      <w:r>
        <w:rPr>
          <w:rFonts w:ascii="Arial" w:hAnsi="Arial" w:cs="Arial"/>
          <w:bCs/>
          <w:lang w:val="nl-NL"/>
        </w:rPr>
        <w:t xml:space="preserve"> yang telah ditetapkan. </w:t>
      </w:r>
    </w:p>
    <w:p>
      <w:pPr>
        <w:pStyle w:val="18"/>
        <w:spacing w:after="0" w:line="240" w:lineRule="auto"/>
        <w:ind w:left="1069"/>
        <w:jc w:val="both"/>
        <w:rPr>
          <w:rFonts w:ascii="Arial" w:hAnsi="Arial" w:cs="Arial"/>
          <w:b/>
          <w:lang w:val="nl-NL"/>
        </w:rPr>
      </w:pPr>
    </w:p>
    <w:p>
      <w:pPr>
        <w:pStyle w:val="18"/>
        <w:spacing w:line="240" w:lineRule="auto"/>
        <w:ind w:left="709"/>
        <w:jc w:val="both"/>
        <w:rPr>
          <w:rFonts w:ascii="Arial" w:hAnsi="Arial" w:cs="Arial"/>
          <w:b/>
        </w:rPr>
      </w:pPr>
      <w:r>
        <w:rPr>
          <w:rFonts w:ascii="Arial" w:hAnsi="Arial" w:cs="Arial"/>
          <w:b/>
        </w:rPr>
        <w:t>Tanggapan Manajemen:</w:t>
      </w:r>
    </w:p>
    <w:p>
      <w:pPr>
        <w:pStyle w:val="18"/>
        <w:spacing w:after="0" w:line="240" w:lineRule="auto"/>
        <w:ind w:left="709"/>
        <w:contextualSpacing w:val="0"/>
        <w:jc w:val="both"/>
        <w:rPr>
          <w:rFonts w:ascii="Arial" w:hAnsi="Arial" w:cs="Arial"/>
          <w:bCs/>
        </w:rPr>
      </w:pPr>
      <w:r>
        <w:rPr>
          <w:rFonts w:hint="default" w:ascii="Arial" w:hAnsi="Arial" w:cs="Arial"/>
          <w:bCs/>
          <w:lang w:val="zh-CN"/>
        </w:rPr>
        <w:t xml:space="preserve">Sesuai dengan rekomendasi Bank akan melakukan </w:t>
      </w:r>
      <w:r>
        <w:rPr>
          <w:rFonts w:ascii="Arial" w:hAnsi="Arial" w:cs="Arial"/>
          <w:lang w:val="nl-NL"/>
        </w:rPr>
        <w:t>review dan evaluasi dan pengkinian terhadap Buku Pedoman Manajemen Risiko TI</w:t>
      </w:r>
      <w:r>
        <w:rPr>
          <w:rFonts w:hint="default" w:ascii="Arial" w:hAnsi="Arial" w:cs="Arial"/>
          <w:lang w:val="zh-CN"/>
        </w:rPr>
        <w:t xml:space="preserve"> </w:t>
      </w:r>
      <w:r>
        <w:rPr>
          <w:rFonts w:hint="default" w:ascii="Arial" w:hAnsi="Arial" w:cs="Arial"/>
          <w:bCs/>
          <w:lang w:val="zh-CN"/>
        </w:rPr>
        <w:t xml:space="preserve">utamanya terkait </w:t>
      </w:r>
      <w:r>
        <w:rPr>
          <w:rFonts w:ascii="Arial" w:hAnsi="Arial" w:cs="Arial"/>
          <w:bCs/>
          <w:lang w:val="nl-NL"/>
        </w:rPr>
        <w:t xml:space="preserve">standar </w:t>
      </w:r>
      <w:r>
        <w:rPr>
          <w:rFonts w:ascii="Arial" w:hAnsi="Arial" w:cs="Arial"/>
          <w:bCs/>
          <w:i/>
          <w:lang w:val="nl-NL"/>
        </w:rPr>
        <w:t>hardening</w:t>
      </w:r>
      <w:r>
        <w:rPr>
          <w:rFonts w:ascii="Arial" w:hAnsi="Arial" w:cs="Arial"/>
          <w:bCs/>
          <w:lang w:val="nl-NL"/>
        </w:rPr>
        <w:t xml:space="preserve"> terhadap OS, DB, Aplikasi, dan Perangka</w:t>
      </w:r>
      <w:r>
        <w:rPr>
          <w:rFonts w:hint="default" w:ascii="Arial" w:hAnsi="Arial" w:cs="Arial"/>
          <w:bCs/>
          <w:lang w:val="zh-CN"/>
        </w:rPr>
        <w:t>t</w:t>
      </w:r>
      <w:r>
        <w:rPr>
          <w:rFonts w:ascii="Arial" w:hAnsi="Arial" w:cs="Arial"/>
          <w:bCs/>
          <w:lang w:val="nl-NL"/>
        </w:rPr>
        <w:t xml:space="preserve"> </w:t>
      </w:r>
      <w:r>
        <w:rPr>
          <w:rFonts w:ascii="Arial" w:hAnsi="Arial" w:cs="Arial"/>
          <w:bCs/>
          <w:i/>
          <w:lang w:val="nl-NL"/>
        </w:rPr>
        <w:t>End User</w:t>
      </w:r>
      <w:r>
        <w:rPr>
          <w:rFonts w:ascii="Arial" w:hAnsi="Arial" w:cs="Arial"/>
          <w:bCs/>
        </w:rPr>
        <w:t>.</w:t>
      </w:r>
    </w:p>
    <w:p>
      <w:pPr>
        <w:pStyle w:val="18"/>
        <w:spacing w:line="240" w:lineRule="auto"/>
        <w:ind w:left="709"/>
        <w:jc w:val="both"/>
        <w:rPr>
          <w:rFonts w:ascii="Arial" w:hAnsi="Arial" w:cs="Arial"/>
          <w:bCs/>
        </w:rPr>
      </w:pPr>
      <w:r>
        <w:rPr>
          <w:rFonts w:hint="default" w:ascii="Arial" w:hAnsi="Arial" w:cs="Arial"/>
          <w:bCs/>
          <w:lang w:val="zh-CN"/>
        </w:rPr>
        <w:t>Target Triwulan I tahun 2023.</w:t>
      </w:r>
    </w:p>
    <w:p>
      <w:pPr>
        <w:spacing w:after="0" w:line="240" w:lineRule="auto"/>
        <w:rPr>
          <w:rFonts w:ascii="Arial" w:hAnsi="Arial" w:cs="Arial"/>
          <w:b/>
        </w:rPr>
      </w:pPr>
      <w:r>
        <w:rPr>
          <w:rFonts w:ascii="Arial" w:hAnsi="Arial" w:cs="Arial"/>
          <w:b/>
        </w:rPr>
        <w:br w:type="page"/>
      </w:r>
    </w:p>
    <w:p>
      <w:pPr>
        <w:pStyle w:val="18"/>
        <w:numPr>
          <w:ilvl w:val="1"/>
          <w:numId w:val="1"/>
        </w:numPr>
        <w:spacing w:line="240" w:lineRule="auto"/>
        <w:ind w:left="709" w:hanging="283"/>
        <w:jc w:val="both"/>
        <w:rPr>
          <w:rFonts w:ascii="Arial" w:hAnsi="Arial" w:cs="Arial"/>
          <w:b/>
        </w:rPr>
      </w:pPr>
      <w:r>
        <w:rPr>
          <w:rFonts w:ascii="Arial" w:hAnsi="Arial" w:cs="Arial"/>
          <w:b/>
        </w:rPr>
        <w:t>Terdapat Aktivitas yang Dilakukan oleh Vendor yang Tidak Diketahui Oleh Bank</w:t>
      </w:r>
    </w:p>
    <w:p>
      <w:pPr>
        <w:pStyle w:val="18"/>
        <w:spacing w:line="240" w:lineRule="auto"/>
        <w:jc w:val="both"/>
        <w:rPr>
          <w:rFonts w:ascii="Arial" w:hAnsi="Arial" w:cs="Arial"/>
          <w:b/>
        </w:rPr>
      </w:pPr>
    </w:p>
    <w:p>
      <w:pPr>
        <w:pStyle w:val="18"/>
        <w:spacing w:line="240" w:lineRule="auto"/>
        <w:jc w:val="both"/>
        <w:rPr>
          <w:rFonts w:ascii="Arial" w:hAnsi="Arial" w:cs="Arial"/>
          <w:b/>
        </w:rPr>
      </w:pPr>
      <w:r>
        <w:rPr>
          <w:rFonts w:ascii="Arial" w:hAnsi="Arial" w:cs="Arial"/>
          <w:b/>
        </w:rPr>
        <w:t>Kondisi:</w:t>
      </w:r>
    </w:p>
    <w:p>
      <w:pPr>
        <w:pStyle w:val="18"/>
        <w:spacing w:line="240" w:lineRule="auto"/>
        <w:ind w:left="709"/>
        <w:jc w:val="both"/>
        <w:rPr>
          <w:rFonts w:ascii="Arial" w:hAnsi="Arial" w:cs="Arial"/>
          <w:bCs/>
        </w:rPr>
      </w:pPr>
      <w:r>
        <w:rPr>
          <w:rFonts w:ascii="Arial" w:hAnsi="Arial" w:cs="Arial"/>
          <w:bCs/>
        </w:rPr>
        <w:t xml:space="preserve">Berdasarkan observasi dan pemeriksaan yang berkaitan dengan Log Aktivitas User pada Aplikasi Core Banking System, Bank sudah menerapkan adanya Log Event untuk setiap aktivitas yang dijalankan oleh User Aplikasi Core Banking System. User-user aplikasi Core Banking System terdiri atas User Internal (Pegawai Bank) dan User dari Vendor. </w:t>
      </w:r>
    </w:p>
    <w:p>
      <w:pPr>
        <w:pStyle w:val="18"/>
        <w:spacing w:line="240" w:lineRule="auto"/>
        <w:ind w:left="709"/>
        <w:jc w:val="both"/>
        <w:rPr>
          <w:rFonts w:ascii="Arial" w:hAnsi="Arial" w:cs="Arial"/>
          <w:bCs/>
        </w:rPr>
      </w:pPr>
    </w:p>
    <w:p>
      <w:pPr>
        <w:pStyle w:val="18"/>
        <w:spacing w:line="240" w:lineRule="auto"/>
        <w:ind w:left="709"/>
        <w:jc w:val="both"/>
        <w:rPr>
          <w:rFonts w:ascii="Arial" w:hAnsi="Arial" w:cs="Arial"/>
          <w:bCs/>
        </w:rPr>
      </w:pPr>
      <w:r>
        <w:rPr>
          <w:rFonts w:ascii="Arial" w:hAnsi="Arial" w:cs="Arial"/>
          <w:bCs/>
        </w:rPr>
        <w:t xml:space="preserve">Berdasarkan pemeriksaan pada Log Aktivitas User aplikasi Core Banking System tanggal 30 November 2022, ditemukan bahwa terdapat sebanyak 17 aktivitas yang dilakukan oleh User dari Vendor pada tanggal tersebut. </w:t>
      </w:r>
      <w:r>
        <w:rPr>
          <w:rFonts w:ascii="Arial" w:hAnsi="Arial" w:cs="Arial"/>
          <w:bCs/>
          <w:lang w:val="nl-NL"/>
        </w:rPr>
        <w:t xml:space="preserve">Namun, Tim TSI belum mengetahui tujuan dan aktivitas yang dijalankan oleh User dari Vendor tersebut. </w:t>
      </w:r>
      <w:r>
        <w:rPr>
          <w:rFonts w:ascii="Arial" w:hAnsi="Arial" w:cs="Arial"/>
          <w:bCs/>
        </w:rPr>
        <w:t>17 aktivitas yang dilakukan oleh User dari Vendor tersebut diantaranya adalah seperti berikut:</w:t>
      </w:r>
    </w:p>
    <w:tbl>
      <w:tblPr>
        <w:tblStyle w:val="5"/>
        <w:tblW w:w="7938" w:type="dxa"/>
        <w:tblInd w:w="704" w:type="dxa"/>
        <w:tblLayout w:type="autofit"/>
        <w:tblCellMar>
          <w:top w:w="0" w:type="dxa"/>
          <w:left w:w="108" w:type="dxa"/>
          <w:bottom w:w="0" w:type="dxa"/>
          <w:right w:w="108" w:type="dxa"/>
        </w:tblCellMar>
      </w:tblPr>
      <w:tblGrid>
        <w:gridCol w:w="1271"/>
        <w:gridCol w:w="1397"/>
        <w:gridCol w:w="1619"/>
        <w:gridCol w:w="1818"/>
        <w:gridCol w:w="1833"/>
      </w:tblGrid>
      <w:tr>
        <w:tblPrEx>
          <w:tblCellMar>
            <w:top w:w="0" w:type="dxa"/>
            <w:left w:w="108" w:type="dxa"/>
            <w:bottom w:w="0" w:type="dxa"/>
            <w:right w:w="108" w:type="dxa"/>
          </w:tblCellMar>
        </w:tblPrEx>
        <w:trPr>
          <w:trHeight w:val="113" w:hRule="atLeast"/>
          <w:tblHeader/>
        </w:trPr>
        <w:tc>
          <w:tcPr>
            <w:tcW w:w="1271" w:type="dxa"/>
            <w:tcBorders>
              <w:top w:val="single" w:color="auto" w:sz="4" w:space="0"/>
              <w:left w:val="single" w:color="auto" w:sz="4" w:space="0"/>
              <w:bottom w:val="single" w:color="auto" w:sz="4" w:space="0"/>
              <w:right w:val="single" w:color="auto" w:sz="4" w:space="0"/>
            </w:tcBorders>
            <w:shd w:val="clear" w:color="000000" w:fill="DCE6F1"/>
            <w:noWrap/>
            <w:vAlign w:val="center"/>
          </w:tcPr>
          <w:p>
            <w:pPr>
              <w:spacing w:before="40" w:after="40" w:line="240" w:lineRule="auto"/>
              <w:jc w:val="center"/>
              <w:rPr>
                <w:rFonts w:ascii="Arial" w:hAnsi="Arial" w:eastAsia="Times New Roman" w:cs="Arial"/>
                <w:b/>
                <w:color w:val="000000"/>
                <w:sz w:val="16"/>
                <w:szCs w:val="20"/>
                <w:lang w:eastAsia="id-ID"/>
              </w:rPr>
            </w:pPr>
            <w:r>
              <w:rPr>
                <w:rFonts w:ascii="Arial" w:hAnsi="Arial" w:eastAsia="Times New Roman" w:cs="Arial"/>
                <w:b/>
                <w:color w:val="000000"/>
                <w:sz w:val="16"/>
                <w:szCs w:val="20"/>
                <w:lang w:eastAsia="id-ID"/>
              </w:rPr>
              <w:t>Tanggal</w:t>
            </w:r>
          </w:p>
        </w:tc>
        <w:tc>
          <w:tcPr>
            <w:tcW w:w="1397" w:type="dxa"/>
            <w:tcBorders>
              <w:top w:val="single" w:color="auto" w:sz="4" w:space="0"/>
              <w:left w:val="nil"/>
              <w:bottom w:val="single" w:color="auto" w:sz="4" w:space="0"/>
              <w:right w:val="single" w:color="auto" w:sz="4" w:space="0"/>
            </w:tcBorders>
            <w:shd w:val="clear" w:color="000000" w:fill="DCE6F1"/>
            <w:noWrap/>
            <w:vAlign w:val="center"/>
          </w:tcPr>
          <w:p>
            <w:pPr>
              <w:spacing w:before="40" w:after="40" w:line="240" w:lineRule="auto"/>
              <w:jc w:val="center"/>
              <w:rPr>
                <w:rFonts w:ascii="Arial" w:hAnsi="Arial" w:eastAsia="Times New Roman" w:cs="Arial"/>
                <w:b/>
                <w:color w:val="000000"/>
                <w:sz w:val="16"/>
                <w:szCs w:val="20"/>
                <w:lang w:eastAsia="id-ID"/>
              </w:rPr>
            </w:pPr>
            <w:r>
              <w:rPr>
                <w:rFonts w:ascii="Arial" w:hAnsi="Arial" w:eastAsia="Times New Roman" w:cs="Arial"/>
                <w:b/>
                <w:color w:val="000000"/>
                <w:sz w:val="16"/>
                <w:szCs w:val="20"/>
                <w:lang w:eastAsia="id-ID"/>
              </w:rPr>
              <w:t>Waktu</w:t>
            </w:r>
          </w:p>
        </w:tc>
        <w:tc>
          <w:tcPr>
            <w:tcW w:w="1619" w:type="dxa"/>
            <w:tcBorders>
              <w:top w:val="single" w:color="auto" w:sz="4" w:space="0"/>
              <w:left w:val="nil"/>
              <w:bottom w:val="single" w:color="auto" w:sz="4" w:space="0"/>
              <w:right w:val="single" w:color="auto" w:sz="4" w:space="0"/>
            </w:tcBorders>
            <w:shd w:val="clear" w:color="000000" w:fill="DCE6F1"/>
            <w:noWrap/>
            <w:vAlign w:val="center"/>
          </w:tcPr>
          <w:p>
            <w:pPr>
              <w:spacing w:before="40" w:after="40" w:line="240" w:lineRule="auto"/>
              <w:jc w:val="center"/>
              <w:rPr>
                <w:rFonts w:ascii="Arial" w:hAnsi="Arial" w:eastAsia="Times New Roman" w:cs="Arial"/>
                <w:b/>
                <w:color w:val="000000"/>
                <w:sz w:val="16"/>
                <w:szCs w:val="20"/>
                <w:lang w:eastAsia="id-ID"/>
              </w:rPr>
            </w:pPr>
            <w:r>
              <w:rPr>
                <w:rFonts w:ascii="Arial" w:hAnsi="Arial" w:eastAsia="Times New Roman" w:cs="Arial"/>
                <w:b/>
                <w:color w:val="000000"/>
                <w:sz w:val="16"/>
                <w:szCs w:val="20"/>
                <w:lang w:eastAsia="id-ID"/>
              </w:rPr>
              <w:t>Akun</w:t>
            </w:r>
          </w:p>
        </w:tc>
        <w:tc>
          <w:tcPr>
            <w:tcW w:w="1818" w:type="dxa"/>
            <w:tcBorders>
              <w:top w:val="single" w:color="auto" w:sz="4" w:space="0"/>
              <w:left w:val="nil"/>
              <w:bottom w:val="single" w:color="auto" w:sz="4" w:space="0"/>
              <w:right w:val="single" w:color="auto" w:sz="4" w:space="0"/>
            </w:tcBorders>
            <w:shd w:val="clear" w:color="000000" w:fill="DCE6F1"/>
            <w:noWrap/>
            <w:vAlign w:val="center"/>
          </w:tcPr>
          <w:p>
            <w:pPr>
              <w:spacing w:before="40" w:after="40" w:line="240" w:lineRule="auto"/>
              <w:jc w:val="center"/>
              <w:rPr>
                <w:rFonts w:ascii="Arial" w:hAnsi="Arial" w:eastAsia="Times New Roman" w:cs="Arial"/>
                <w:b/>
                <w:color w:val="000000"/>
                <w:sz w:val="16"/>
                <w:szCs w:val="20"/>
                <w:lang w:eastAsia="id-ID"/>
              </w:rPr>
            </w:pPr>
            <w:r>
              <w:rPr>
                <w:rFonts w:ascii="Arial" w:hAnsi="Arial" w:eastAsia="Times New Roman" w:cs="Arial"/>
                <w:b/>
                <w:color w:val="000000"/>
                <w:sz w:val="16"/>
                <w:szCs w:val="20"/>
                <w:lang w:eastAsia="id-ID"/>
              </w:rPr>
              <w:t>Aktivitas</w:t>
            </w:r>
          </w:p>
        </w:tc>
        <w:tc>
          <w:tcPr>
            <w:tcW w:w="1833" w:type="dxa"/>
            <w:tcBorders>
              <w:top w:val="single" w:color="auto" w:sz="4" w:space="0"/>
              <w:left w:val="nil"/>
              <w:bottom w:val="single" w:color="auto" w:sz="4" w:space="0"/>
              <w:right w:val="single" w:color="auto" w:sz="4" w:space="0"/>
            </w:tcBorders>
            <w:shd w:val="clear" w:color="000000" w:fill="DCE6F1"/>
            <w:noWrap/>
            <w:vAlign w:val="center"/>
          </w:tcPr>
          <w:p>
            <w:pPr>
              <w:spacing w:before="40" w:after="40" w:line="240" w:lineRule="auto"/>
              <w:jc w:val="center"/>
              <w:rPr>
                <w:rFonts w:ascii="Arial" w:hAnsi="Arial" w:eastAsia="Times New Roman" w:cs="Arial"/>
                <w:b/>
                <w:color w:val="000000"/>
                <w:sz w:val="16"/>
                <w:szCs w:val="20"/>
                <w:lang w:eastAsia="id-ID"/>
              </w:rPr>
            </w:pPr>
            <w:r>
              <w:rPr>
                <w:rFonts w:ascii="Arial" w:hAnsi="Arial" w:eastAsia="Times New Roman" w:cs="Arial"/>
                <w:b/>
                <w:color w:val="000000"/>
                <w:sz w:val="16"/>
                <w:szCs w:val="20"/>
                <w:lang w:eastAsia="id-ID"/>
              </w:rPr>
              <w:t>Keterangan</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11:44:40:033</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FDSSUPPORT04</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eastAsia="id-ID"/>
              </w:rPr>
            </w:pPr>
            <w:r>
              <w:rPr>
                <w:rFonts w:ascii="Arial" w:hAnsi="Arial" w:eastAsia="Times New Roman" w:cs="Arial"/>
                <w:color w:val="000000"/>
                <w:sz w:val="16"/>
                <w:szCs w:val="20"/>
                <w:lang w:val="id-ID" w:eastAsia="id-ID"/>
              </w:rPr>
              <w:t>DM.MAPPING.</w:t>
            </w:r>
          </w:p>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DEFINITION</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FDS.CHN.LIMIT.UPD</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12:23:14:093</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FDSSUPPORT02</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VERSION</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FUNDS.TRANSFER</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16:47:00:097</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TSA.SERVICE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BNK/PACS.RAISE.</w:t>
            </w:r>
          </w:p>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ENTRY.SINGLE</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19:56:54:060</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FDSSUPPORT01</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FUNDS.TRANSFER</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FT22334VVBTV</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19:52:40:092</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DATA.CAPTURE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DC223340001004001</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14:59:13:019</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DATA.CAPTURE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DC223340001001001</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19:50:57:079</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DATA.CAPTURE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DC223340001003001</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19:56:54:060</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FDSSUPPORT01</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FUNDS.TRANSFER</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FT22334VVBTV</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12:23:14:093</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FDSSUPPORT02</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VERSION</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FUNDS.TRANSFER</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16:47:00:097</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TSA.SERVICE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BNK/PACS.RAISE.</w:t>
            </w:r>
          </w:p>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ENTRY.SINGLE</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19:14:27:069</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TSA.SERVICE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BNK/PACS.RAISE.</w:t>
            </w:r>
          </w:p>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ENTRY.SINGLE</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19:52:40:092</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DATA.CAPTURE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DC223340001004001</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19:50:57:079</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DATA.CAPTURE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DC223340001003001</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15:00:09:003</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DATA.CAPTURE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DC223340001002001</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14:59:13:019</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DATA.CAPTURE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DC223340001001001</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11:44:40:033</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FDSSUPPORT04</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DM.MAPPING.</w:t>
            </w:r>
          </w:p>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DEFINITION</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FDS.CHN.LIMIT.UPD</w:t>
            </w:r>
          </w:p>
        </w:tc>
      </w:tr>
      <w:tr>
        <w:tblPrEx>
          <w:tblCellMar>
            <w:top w:w="0" w:type="dxa"/>
            <w:left w:w="108" w:type="dxa"/>
            <w:bottom w:w="0" w:type="dxa"/>
            <w:right w:w="108" w:type="dxa"/>
          </w:tblCellMar>
        </w:tblPrEx>
        <w:trPr>
          <w:trHeight w:val="113" w:hRule="atLeast"/>
        </w:trPr>
        <w:tc>
          <w:tcPr>
            <w:tcW w:w="1271" w:type="dxa"/>
            <w:tcBorders>
              <w:top w:val="nil"/>
              <w:left w:val="single" w:color="auto" w:sz="4" w:space="0"/>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20221130</w:t>
            </w:r>
          </w:p>
        </w:tc>
        <w:tc>
          <w:tcPr>
            <w:tcW w:w="1397"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15:00:09:003</w:t>
            </w:r>
          </w:p>
        </w:tc>
        <w:tc>
          <w:tcPr>
            <w:tcW w:w="1619"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FDSSUPPORT03</w:t>
            </w:r>
          </w:p>
        </w:tc>
        <w:tc>
          <w:tcPr>
            <w:tcW w:w="1818"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DATA.CAPTURE</w:t>
            </w:r>
          </w:p>
        </w:tc>
        <w:tc>
          <w:tcPr>
            <w:tcW w:w="1833" w:type="dxa"/>
            <w:tcBorders>
              <w:top w:val="nil"/>
              <w:left w:val="nil"/>
              <w:bottom w:val="single" w:color="auto" w:sz="4" w:space="0"/>
              <w:right w:val="single" w:color="auto" w:sz="4" w:space="0"/>
            </w:tcBorders>
            <w:shd w:val="clear" w:color="auto" w:fill="auto"/>
            <w:noWrap/>
            <w:vAlign w:val="center"/>
          </w:tcPr>
          <w:p>
            <w:pPr>
              <w:spacing w:before="40" w:after="40" w:line="240" w:lineRule="auto"/>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DC223340001002001</w:t>
            </w:r>
          </w:p>
        </w:tc>
      </w:tr>
    </w:tbl>
    <w:p>
      <w:pPr>
        <w:pStyle w:val="18"/>
        <w:spacing w:after="0" w:line="240" w:lineRule="auto"/>
        <w:ind w:left="1069"/>
        <w:jc w:val="both"/>
        <w:rPr>
          <w:rFonts w:ascii="Arial" w:hAnsi="Arial" w:cs="Arial"/>
          <w:b/>
        </w:rPr>
      </w:pPr>
    </w:p>
    <w:p>
      <w:pPr>
        <w:pStyle w:val="18"/>
        <w:spacing w:line="240" w:lineRule="auto"/>
        <w:ind w:left="709"/>
        <w:jc w:val="both"/>
        <w:rPr>
          <w:rFonts w:ascii="Arial" w:hAnsi="Arial" w:cs="Arial"/>
          <w:b/>
        </w:rPr>
      </w:pPr>
      <w:r>
        <w:rPr>
          <w:rFonts w:ascii="Arial" w:hAnsi="Arial" w:cs="Arial"/>
          <w:b/>
        </w:rPr>
        <w:t>Risiko:</w:t>
      </w:r>
    </w:p>
    <w:p>
      <w:pPr>
        <w:pStyle w:val="18"/>
        <w:spacing w:after="0" w:line="240" w:lineRule="auto"/>
        <w:ind w:left="709"/>
        <w:contextualSpacing w:val="0"/>
        <w:jc w:val="both"/>
        <w:rPr>
          <w:rFonts w:ascii="Arial" w:hAnsi="Arial" w:cs="Arial"/>
          <w:bCs/>
          <w:lang w:val="nl-NL"/>
        </w:rPr>
      </w:pPr>
      <w:r>
        <w:rPr>
          <w:rFonts w:ascii="Arial" w:hAnsi="Arial" w:cs="Arial"/>
          <w:bCs/>
        </w:rPr>
        <w:t xml:space="preserve">Apabila Bank tidak melakukan pemantauan terhadap aktivitas yang dijalankan oleh vendor, maka meningkatkan risiko penyalahgunaan akses yang tidak terdeteksi. </w:t>
      </w:r>
      <w:r>
        <w:rPr>
          <w:rFonts w:ascii="Arial" w:hAnsi="Arial" w:cs="Arial"/>
          <w:bCs/>
          <w:lang w:val="nl-NL"/>
        </w:rPr>
        <w:t>Hal ini dapat berakibat disrupsi terhadap operasional aplikasi Bank dan pelanggaran kerahasiaan data.</w:t>
      </w:r>
    </w:p>
    <w:p>
      <w:pPr>
        <w:spacing w:after="0" w:line="240" w:lineRule="auto"/>
        <w:jc w:val="both"/>
        <w:rPr>
          <w:rFonts w:ascii="Arial" w:hAnsi="Arial" w:cs="Arial"/>
          <w:b/>
          <w:lang w:val="nl-NL"/>
        </w:rPr>
      </w:pPr>
    </w:p>
    <w:p>
      <w:pPr>
        <w:pStyle w:val="18"/>
        <w:spacing w:after="0" w:line="240" w:lineRule="auto"/>
        <w:ind w:left="709"/>
        <w:contextualSpacing w:val="0"/>
        <w:jc w:val="both"/>
        <w:rPr>
          <w:rFonts w:ascii="Arial" w:hAnsi="Arial" w:cs="Arial"/>
          <w:b/>
          <w:lang w:val="nl-NL"/>
        </w:rPr>
      </w:pPr>
      <w:r>
        <w:rPr>
          <w:rFonts w:ascii="Arial" w:hAnsi="Arial" w:cs="Arial"/>
          <w:b/>
          <w:lang w:val="nl-NL"/>
        </w:rPr>
        <w:t>Rekomendasi:</w:t>
      </w:r>
    </w:p>
    <w:p>
      <w:pPr>
        <w:pStyle w:val="18"/>
        <w:numPr>
          <w:ilvl w:val="0"/>
          <w:numId w:val="3"/>
        </w:numPr>
        <w:spacing w:after="0" w:line="240" w:lineRule="auto"/>
        <w:contextualSpacing w:val="0"/>
        <w:jc w:val="both"/>
        <w:rPr>
          <w:rFonts w:ascii="Arial" w:hAnsi="Arial" w:cs="Arial"/>
          <w:b/>
          <w:lang w:val="nl-NL"/>
        </w:rPr>
      </w:pPr>
      <w:r>
        <w:rPr>
          <w:rFonts w:ascii="Arial" w:hAnsi="Arial" w:cs="Arial"/>
          <w:bCs/>
          <w:lang w:val="nl-NL"/>
        </w:rPr>
        <w:t>Bank melakukan konfirmasi kepada pihak vendor untuk mengetahui aktivitas apa yang dijalankan oleh User dari Vendor tersebut.</w:t>
      </w:r>
    </w:p>
    <w:p>
      <w:pPr>
        <w:pStyle w:val="18"/>
        <w:numPr>
          <w:ilvl w:val="0"/>
          <w:numId w:val="3"/>
        </w:numPr>
        <w:spacing w:after="0" w:line="240" w:lineRule="auto"/>
        <w:contextualSpacing w:val="0"/>
        <w:jc w:val="both"/>
        <w:rPr>
          <w:rFonts w:ascii="Arial" w:hAnsi="Arial" w:cs="Arial"/>
          <w:b/>
        </w:rPr>
      </w:pPr>
      <w:r>
        <w:rPr>
          <w:rFonts w:ascii="Arial" w:hAnsi="Arial" w:cs="Arial"/>
          <w:bCs/>
        </w:rPr>
        <w:t>Bank melakukan pengkajian secara berkala terhadap Log Event/Audit Trail untuk memeriksa aktivitas user ID yang digunakan oleh vendor.</w:t>
      </w:r>
    </w:p>
    <w:p>
      <w:pPr>
        <w:pStyle w:val="18"/>
        <w:spacing w:after="0" w:line="240" w:lineRule="auto"/>
        <w:ind w:left="1069"/>
        <w:jc w:val="both"/>
        <w:rPr>
          <w:rFonts w:ascii="Arial" w:hAnsi="Arial" w:cs="Arial"/>
          <w:b/>
        </w:rPr>
      </w:pPr>
    </w:p>
    <w:p>
      <w:pPr>
        <w:pStyle w:val="18"/>
        <w:spacing w:line="240" w:lineRule="auto"/>
        <w:ind w:left="709"/>
        <w:jc w:val="both"/>
        <w:rPr>
          <w:rFonts w:ascii="Arial" w:hAnsi="Arial" w:cs="Arial"/>
          <w:b/>
        </w:rPr>
      </w:pPr>
      <w:r>
        <w:rPr>
          <w:rFonts w:ascii="Arial" w:hAnsi="Arial" w:cs="Arial"/>
          <w:b/>
        </w:rPr>
        <w:t>Tanggapan Manajemen:</w:t>
      </w:r>
    </w:p>
    <w:p>
      <w:pPr>
        <w:pStyle w:val="18"/>
        <w:numPr>
          <w:ilvl w:val="0"/>
          <w:numId w:val="3"/>
        </w:numPr>
        <w:spacing w:line="240" w:lineRule="auto"/>
        <w:jc w:val="both"/>
        <w:rPr>
          <w:rFonts w:ascii="Arial" w:hAnsi="Arial" w:cs="Arial"/>
          <w:b/>
        </w:rPr>
      </w:pPr>
      <w:r>
        <w:rPr>
          <w:rFonts w:ascii="Arial" w:hAnsi="Arial" w:cs="Arial"/>
          <w:bCs/>
        </w:rPr>
        <w:t>Bank menyampaikan konfirmasi transaksi tersebut di atas kepada pihak vendor melalui Bugzilla 21526 - Terdapat Aktivitas Yang Dilakukan Oleh User FDSSUPPOR</w:t>
      </w:r>
      <w:r>
        <w:rPr>
          <w:rFonts w:hint="default" w:ascii="Arial" w:hAnsi="Arial" w:cs="Arial"/>
          <w:bCs/>
          <w:lang w:val="zh-CN"/>
        </w:rPr>
        <w:t>T</w:t>
      </w:r>
      <w:r>
        <w:rPr>
          <w:rFonts w:ascii="Arial" w:hAnsi="Arial" w:cs="Arial"/>
          <w:bCs/>
        </w:rPr>
        <w:t xml:space="preserve"> untuk mengetahui aktivitas yang dijalankan (terlampir).</w:t>
      </w:r>
    </w:p>
    <w:p>
      <w:pPr>
        <w:pStyle w:val="18"/>
        <w:numPr>
          <w:ilvl w:val="0"/>
          <w:numId w:val="3"/>
        </w:numPr>
        <w:spacing w:line="240" w:lineRule="auto"/>
        <w:jc w:val="both"/>
        <w:rPr>
          <w:rFonts w:ascii="Arial" w:hAnsi="Arial" w:cs="Arial"/>
          <w:b/>
        </w:rPr>
      </w:pPr>
      <w:r>
        <w:rPr>
          <w:rFonts w:ascii="Arial" w:hAnsi="Arial" w:cs="Arial"/>
          <w:bCs/>
        </w:rPr>
        <w:t>Bank akan memonitoring Log Event/Audit Trail untuk memeriksa aktivitas user.</w:t>
      </w:r>
    </w:p>
    <w:p>
      <w:pPr>
        <w:pStyle w:val="18"/>
        <w:spacing w:line="240" w:lineRule="auto"/>
        <w:ind w:left="1069"/>
        <w:jc w:val="both"/>
        <w:rPr>
          <w:rFonts w:ascii="Arial" w:hAnsi="Arial" w:cs="Arial"/>
          <w:bCs/>
        </w:rPr>
      </w:pPr>
    </w:p>
    <w:p>
      <w:pPr>
        <w:pStyle w:val="18"/>
        <w:spacing w:line="240" w:lineRule="auto"/>
        <w:ind w:left="1069"/>
        <w:jc w:val="both"/>
        <w:rPr>
          <w:rFonts w:ascii="Arial" w:hAnsi="Arial" w:cs="Arial"/>
          <w:bCs/>
        </w:rPr>
      </w:pPr>
    </w:p>
    <w:p>
      <w:pPr>
        <w:pStyle w:val="18"/>
        <w:spacing w:line="240" w:lineRule="auto"/>
        <w:ind w:left="1069"/>
        <w:jc w:val="both"/>
        <w:rPr>
          <w:rFonts w:ascii="Arial" w:hAnsi="Arial" w:cs="Arial"/>
          <w:bCs/>
        </w:rPr>
      </w:pPr>
      <w:r>
        <w:rPr>
          <w:rFonts w:ascii="Arial" w:hAnsi="Arial" w:cs="Arial"/>
          <w:bCs/>
        </w:rPr>
        <w:object>
          <v:shape id="_x0000_i1025" o:spt="75" type="#_x0000_t75" style="height:49.45pt;width:75.85pt;" o:ole="t" filled="f" o:preferrelative="t" stroked="f" coordsize="21600,21600">
            <v:path/>
            <v:fill on="f" focussize="0,0"/>
            <v:stroke on="f" joinstyle="miter"/>
            <v:imagedata r:id="rId9" o:title=""/>
            <o:lock v:ext="edit" aspectratio="t"/>
            <w10:wrap type="none"/>
            <w10:anchorlock/>
          </v:shape>
          <o:OLEObject Type="Embed" ProgID="Package" ShapeID="_x0000_i1025" DrawAspect="Icon" ObjectID="_1468075725" r:id="rId8">
            <o:LockedField>false</o:LockedField>
          </o:OLEObject>
        </w:object>
      </w:r>
    </w:p>
    <w:p>
      <w:pPr>
        <w:pStyle w:val="18"/>
        <w:spacing w:line="240" w:lineRule="auto"/>
        <w:ind w:left="1069"/>
        <w:jc w:val="both"/>
        <w:rPr>
          <w:rFonts w:ascii="Arial" w:hAnsi="Arial" w:cs="Arial"/>
          <w:bCs/>
        </w:rPr>
      </w:pPr>
    </w:p>
    <w:p>
      <w:pPr>
        <w:spacing w:line="240" w:lineRule="auto"/>
        <w:jc w:val="both"/>
        <w:rPr>
          <w:rFonts w:ascii="Arial" w:hAnsi="Arial" w:cs="Arial"/>
          <w:b/>
        </w:rPr>
      </w:pPr>
      <w:r>
        <w:rPr>
          <w:rFonts w:ascii="Arial" w:hAnsi="Arial" w:cs="Arial"/>
          <w:b/>
        </w:rPr>
        <w:br w:type="page"/>
      </w:r>
    </w:p>
    <w:p>
      <w:pPr>
        <w:pStyle w:val="18"/>
        <w:numPr>
          <w:ilvl w:val="1"/>
          <w:numId w:val="1"/>
        </w:numPr>
        <w:spacing w:line="240" w:lineRule="auto"/>
        <w:ind w:left="709" w:hanging="283"/>
        <w:jc w:val="both"/>
        <w:rPr>
          <w:rFonts w:ascii="Arial" w:hAnsi="Arial" w:cs="Arial"/>
          <w:b/>
        </w:rPr>
      </w:pPr>
      <w:r>
        <w:rPr>
          <w:rFonts w:ascii="Arial" w:hAnsi="Arial" w:cs="Arial"/>
          <w:b/>
        </w:rPr>
        <w:t xml:space="preserve">Belum Terdapat Dokumentasi </w:t>
      </w:r>
      <w:r>
        <w:rPr>
          <w:rFonts w:ascii="Arial" w:hAnsi="Arial" w:cs="Arial"/>
          <w:b/>
          <w:i/>
        </w:rPr>
        <w:t>User Access Matrix</w:t>
      </w:r>
      <w:r>
        <w:rPr>
          <w:rFonts w:ascii="Arial" w:hAnsi="Arial" w:cs="Arial"/>
          <w:b/>
        </w:rPr>
        <w:t xml:space="preserve"> untuk Penggunaan Aplikasi </w:t>
      </w:r>
      <w:r>
        <w:rPr>
          <w:rFonts w:ascii="Arial" w:hAnsi="Arial" w:cs="Arial"/>
          <w:b/>
          <w:i/>
        </w:rPr>
        <w:t>Core Banking System</w:t>
      </w:r>
    </w:p>
    <w:p>
      <w:pPr>
        <w:pStyle w:val="18"/>
        <w:spacing w:line="240" w:lineRule="auto"/>
        <w:jc w:val="both"/>
        <w:rPr>
          <w:rFonts w:ascii="Arial" w:hAnsi="Arial" w:cs="Arial"/>
          <w:b/>
        </w:rPr>
      </w:pPr>
    </w:p>
    <w:p>
      <w:pPr>
        <w:pStyle w:val="18"/>
        <w:spacing w:line="240" w:lineRule="auto"/>
        <w:jc w:val="both"/>
        <w:rPr>
          <w:rFonts w:ascii="Arial" w:hAnsi="Arial" w:cs="Arial"/>
          <w:b/>
        </w:rPr>
      </w:pPr>
      <w:r>
        <w:rPr>
          <w:rFonts w:ascii="Arial" w:hAnsi="Arial" w:cs="Arial"/>
          <w:b/>
        </w:rPr>
        <w:t>Kondisi:</w:t>
      </w:r>
    </w:p>
    <w:p>
      <w:pPr>
        <w:pStyle w:val="18"/>
        <w:spacing w:line="240" w:lineRule="auto"/>
        <w:jc w:val="both"/>
        <w:rPr>
          <w:rFonts w:ascii="Arial" w:hAnsi="Arial" w:cs="Arial"/>
          <w:bCs/>
        </w:rPr>
      </w:pPr>
      <w:r>
        <w:rPr>
          <w:rFonts w:ascii="Arial" w:hAnsi="Arial" w:cs="Arial"/>
          <w:bCs/>
        </w:rPr>
        <w:t xml:space="preserve">Berdasarkan hasil pemeriksaan yang dilakukan mengenai pengelolaan user, saat ini sudah terdapat pembagian fitur-fitur yang dapat diakses oleh user. Pembagian fitur tersebut sudah diimplementasikan kedalam Sistem Core Banking System, baik Syariah maupun Konven. Namun, berdasarkan hasil pemeriksaan, ditemukan bahwa bank belum menetapkan kebijakan mengenai pembuatan </w:t>
      </w:r>
      <w:r>
        <w:rPr>
          <w:rFonts w:ascii="Arial" w:hAnsi="Arial" w:cs="Arial"/>
          <w:bCs/>
          <w:i/>
        </w:rPr>
        <w:t>User Access Matrix</w:t>
      </w:r>
      <w:r>
        <w:rPr>
          <w:rFonts w:ascii="Arial" w:hAnsi="Arial" w:cs="Arial"/>
          <w:bCs/>
        </w:rPr>
        <w:t xml:space="preserve">, sehingga bank belum memiliki dokumen </w:t>
      </w:r>
      <w:r>
        <w:rPr>
          <w:rFonts w:ascii="Arial" w:hAnsi="Arial" w:cs="Arial"/>
          <w:bCs/>
          <w:i/>
        </w:rPr>
        <w:t>User Access Matrix</w:t>
      </w:r>
      <w:r>
        <w:rPr>
          <w:rFonts w:ascii="Arial" w:hAnsi="Arial" w:cs="Arial"/>
          <w:bCs/>
        </w:rPr>
        <w:t xml:space="preserve"> yang telah diformalkan.</w:t>
      </w:r>
    </w:p>
    <w:p>
      <w:pPr>
        <w:pStyle w:val="18"/>
        <w:spacing w:line="240" w:lineRule="auto"/>
        <w:jc w:val="both"/>
        <w:rPr>
          <w:rFonts w:ascii="Arial" w:hAnsi="Arial" w:cs="Arial"/>
          <w:bCs/>
        </w:rPr>
      </w:pPr>
    </w:p>
    <w:p>
      <w:pPr>
        <w:pStyle w:val="18"/>
        <w:spacing w:line="240" w:lineRule="auto"/>
        <w:jc w:val="both"/>
        <w:rPr>
          <w:rFonts w:ascii="Arial" w:hAnsi="Arial" w:cs="Arial"/>
          <w:bCs/>
        </w:rPr>
      </w:pPr>
      <w:r>
        <w:rPr>
          <w:rFonts w:ascii="Arial" w:hAnsi="Arial" w:cs="Arial"/>
          <w:bCs/>
        </w:rPr>
        <w:t>Selain itu, berdasarkan hasil pemeriksaan yang dilakukan terhadap daftar user yang memiliki akses ke aplikasi T24 Konven dan T24 Syariah, terdapat sebanyak 10 akun user dari vendor pada aplikasi T24 Konven dan 10 akun user dari vendor pada aplikasi T24 Syariah. Bank sudah menutup akses untuk akun dari vendor yang sudah tidak digunakan, sehingga tersisa sebanyak 4 akun user dari vendor yang aktif pada aplikasi T24 Konven dan 3 akun user dari vendor pada aplikasi T24 Syariah. Akun dari Vendor tersebut adalah seperti berikut.</w:t>
      </w:r>
    </w:p>
    <w:p>
      <w:pPr>
        <w:pStyle w:val="18"/>
        <w:spacing w:line="240" w:lineRule="auto"/>
        <w:jc w:val="both"/>
        <w:rPr>
          <w:rFonts w:ascii="Arial" w:hAnsi="Arial" w:cs="Arial"/>
          <w:bCs/>
        </w:rPr>
      </w:pPr>
    </w:p>
    <w:tbl>
      <w:tblPr>
        <w:tblStyle w:val="17"/>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4"/>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2394" w:type="dxa"/>
          </w:tcPr>
          <w:p>
            <w:pPr>
              <w:pStyle w:val="18"/>
              <w:spacing w:after="0" w:line="240" w:lineRule="auto"/>
              <w:ind w:left="0"/>
              <w:jc w:val="both"/>
              <w:rPr>
                <w:rFonts w:ascii="Arial" w:hAnsi="Arial" w:cs="Arial"/>
                <w:sz w:val="20"/>
              </w:rPr>
            </w:pPr>
            <w:r>
              <w:rPr>
                <w:rFonts w:ascii="Arial" w:hAnsi="Arial" w:cs="Arial"/>
                <w:sz w:val="20"/>
              </w:rPr>
              <w:t>Aplikasi T24 Konven:</w:t>
            </w:r>
          </w:p>
        </w:tc>
        <w:tc>
          <w:tcPr>
            <w:tcW w:w="4508" w:type="dxa"/>
          </w:tcPr>
          <w:p>
            <w:pPr>
              <w:pStyle w:val="18"/>
              <w:numPr>
                <w:ilvl w:val="0"/>
                <w:numId w:val="4"/>
              </w:numPr>
              <w:spacing w:after="0" w:line="240" w:lineRule="auto"/>
              <w:ind w:left="459"/>
              <w:jc w:val="both"/>
              <w:rPr>
                <w:rFonts w:ascii="Arial" w:hAnsi="Arial" w:cs="Arial"/>
                <w:sz w:val="20"/>
              </w:rPr>
            </w:pPr>
            <w:r>
              <w:rPr>
                <w:rFonts w:ascii="Arial" w:hAnsi="Arial" w:cs="Arial"/>
                <w:sz w:val="20"/>
              </w:rPr>
              <w:t>FDSSUPPORT01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2394" w:type="dxa"/>
          </w:tcPr>
          <w:p>
            <w:pPr>
              <w:pStyle w:val="18"/>
              <w:spacing w:after="0" w:line="240" w:lineRule="auto"/>
              <w:ind w:left="0"/>
              <w:jc w:val="both"/>
              <w:rPr>
                <w:rFonts w:ascii="Arial" w:hAnsi="Arial" w:cs="Arial"/>
                <w:sz w:val="20"/>
              </w:rPr>
            </w:pPr>
          </w:p>
        </w:tc>
        <w:tc>
          <w:tcPr>
            <w:tcW w:w="4508" w:type="dxa"/>
          </w:tcPr>
          <w:p>
            <w:pPr>
              <w:pStyle w:val="18"/>
              <w:numPr>
                <w:ilvl w:val="0"/>
                <w:numId w:val="4"/>
              </w:numPr>
              <w:spacing w:after="0" w:line="240" w:lineRule="auto"/>
              <w:ind w:left="459"/>
              <w:jc w:val="both"/>
              <w:rPr>
                <w:rFonts w:ascii="Arial" w:hAnsi="Arial" w:cs="Arial"/>
                <w:sz w:val="20"/>
              </w:rPr>
            </w:pPr>
            <w:r>
              <w:rPr>
                <w:rFonts w:ascii="Arial" w:hAnsi="Arial" w:cs="Arial"/>
                <w:sz w:val="20"/>
              </w:rPr>
              <w:t>FDSSUPPORT02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2394" w:type="dxa"/>
          </w:tcPr>
          <w:p>
            <w:pPr>
              <w:pStyle w:val="18"/>
              <w:spacing w:after="0" w:line="240" w:lineRule="auto"/>
              <w:ind w:left="0"/>
              <w:jc w:val="both"/>
              <w:rPr>
                <w:rFonts w:ascii="Arial" w:hAnsi="Arial" w:cs="Arial"/>
                <w:sz w:val="20"/>
              </w:rPr>
            </w:pPr>
          </w:p>
        </w:tc>
        <w:tc>
          <w:tcPr>
            <w:tcW w:w="4508" w:type="dxa"/>
          </w:tcPr>
          <w:p>
            <w:pPr>
              <w:pStyle w:val="18"/>
              <w:numPr>
                <w:ilvl w:val="0"/>
                <w:numId w:val="4"/>
              </w:numPr>
              <w:spacing w:after="0" w:line="240" w:lineRule="auto"/>
              <w:ind w:left="459"/>
              <w:jc w:val="both"/>
              <w:rPr>
                <w:rFonts w:ascii="Arial" w:hAnsi="Arial" w:cs="Arial"/>
                <w:sz w:val="20"/>
              </w:rPr>
            </w:pPr>
            <w:r>
              <w:rPr>
                <w:rFonts w:ascii="Arial" w:hAnsi="Arial" w:cs="Arial"/>
                <w:sz w:val="20"/>
              </w:rPr>
              <w:t>FDSSUPPORT03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2394" w:type="dxa"/>
          </w:tcPr>
          <w:p>
            <w:pPr>
              <w:pStyle w:val="18"/>
              <w:spacing w:after="0" w:line="240" w:lineRule="auto"/>
              <w:ind w:left="0"/>
              <w:jc w:val="both"/>
              <w:rPr>
                <w:rFonts w:ascii="Arial" w:hAnsi="Arial" w:cs="Arial"/>
                <w:sz w:val="20"/>
              </w:rPr>
            </w:pPr>
          </w:p>
        </w:tc>
        <w:tc>
          <w:tcPr>
            <w:tcW w:w="4508" w:type="dxa"/>
          </w:tcPr>
          <w:p>
            <w:pPr>
              <w:pStyle w:val="18"/>
              <w:numPr>
                <w:ilvl w:val="0"/>
                <w:numId w:val="4"/>
              </w:numPr>
              <w:spacing w:after="0" w:line="240" w:lineRule="auto"/>
              <w:ind w:left="459"/>
              <w:jc w:val="both"/>
              <w:rPr>
                <w:rFonts w:ascii="Arial" w:hAnsi="Arial" w:cs="Arial"/>
                <w:sz w:val="20"/>
              </w:rPr>
            </w:pPr>
            <w:r>
              <w:rPr>
                <w:rFonts w:ascii="Arial" w:hAnsi="Arial" w:cs="Arial"/>
                <w:sz w:val="20"/>
              </w:rPr>
              <w:t>FDSSUPPORT04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2394" w:type="dxa"/>
          </w:tcPr>
          <w:p>
            <w:pPr>
              <w:pStyle w:val="18"/>
              <w:spacing w:after="0" w:line="240" w:lineRule="auto"/>
              <w:ind w:left="0"/>
              <w:jc w:val="both"/>
              <w:rPr>
                <w:rFonts w:ascii="Arial" w:hAnsi="Arial" w:cs="Arial"/>
                <w:sz w:val="20"/>
              </w:rPr>
            </w:pPr>
          </w:p>
        </w:tc>
        <w:tc>
          <w:tcPr>
            <w:tcW w:w="4508" w:type="dxa"/>
          </w:tcPr>
          <w:p>
            <w:pPr>
              <w:pStyle w:val="18"/>
              <w:spacing w:after="0" w:line="240" w:lineRule="auto"/>
              <w:ind w:left="459"/>
              <w:jc w:val="both"/>
              <w:rPr>
                <w:rFonts w:ascii="Arial" w:hAnsi="Arial" w:cs="Arial"/>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2394" w:type="dxa"/>
          </w:tcPr>
          <w:p>
            <w:pPr>
              <w:pStyle w:val="18"/>
              <w:spacing w:after="0" w:line="240" w:lineRule="auto"/>
              <w:ind w:left="0"/>
              <w:jc w:val="both"/>
              <w:rPr>
                <w:rFonts w:ascii="Arial" w:hAnsi="Arial" w:cs="Arial"/>
                <w:sz w:val="20"/>
              </w:rPr>
            </w:pPr>
            <w:r>
              <w:rPr>
                <w:rFonts w:ascii="Arial" w:hAnsi="Arial" w:cs="Arial"/>
                <w:sz w:val="20"/>
              </w:rPr>
              <w:t>Aplikasi T24 Syariah:</w:t>
            </w:r>
          </w:p>
        </w:tc>
        <w:tc>
          <w:tcPr>
            <w:tcW w:w="4508" w:type="dxa"/>
          </w:tcPr>
          <w:p>
            <w:pPr>
              <w:pStyle w:val="18"/>
              <w:numPr>
                <w:ilvl w:val="0"/>
                <w:numId w:val="4"/>
              </w:numPr>
              <w:spacing w:after="0" w:line="240" w:lineRule="auto"/>
              <w:ind w:left="459"/>
              <w:jc w:val="both"/>
              <w:rPr>
                <w:rFonts w:ascii="Arial" w:hAnsi="Arial" w:cs="Arial"/>
                <w:sz w:val="20"/>
              </w:rPr>
            </w:pPr>
            <w:r>
              <w:rPr>
                <w:rFonts w:ascii="Arial" w:hAnsi="Arial" w:cs="Arial"/>
                <w:sz w:val="20"/>
              </w:rPr>
              <w:t>FDSSUPPORT01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2394" w:type="dxa"/>
          </w:tcPr>
          <w:p>
            <w:pPr>
              <w:pStyle w:val="18"/>
              <w:spacing w:after="0" w:line="240" w:lineRule="auto"/>
              <w:ind w:left="0"/>
              <w:jc w:val="both"/>
              <w:rPr>
                <w:rFonts w:ascii="Arial" w:hAnsi="Arial" w:cs="Arial"/>
                <w:sz w:val="20"/>
              </w:rPr>
            </w:pPr>
          </w:p>
        </w:tc>
        <w:tc>
          <w:tcPr>
            <w:tcW w:w="4508" w:type="dxa"/>
          </w:tcPr>
          <w:p>
            <w:pPr>
              <w:pStyle w:val="18"/>
              <w:numPr>
                <w:ilvl w:val="0"/>
                <w:numId w:val="4"/>
              </w:numPr>
              <w:spacing w:after="0" w:line="240" w:lineRule="auto"/>
              <w:ind w:left="459"/>
              <w:jc w:val="both"/>
              <w:rPr>
                <w:rFonts w:ascii="Arial" w:hAnsi="Arial" w:cs="Arial"/>
                <w:sz w:val="20"/>
              </w:rPr>
            </w:pPr>
            <w:r>
              <w:rPr>
                <w:rFonts w:ascii="Arial" w:hAnsi="Arial" w:cs="Arial"/>
                <w:sz w:val="20"/>
              </w:rPr>
              <w:t>FDSSUPPORT02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2394" w:type="dxa"/>
          </w:tcPr>
          <w:p>
            <w:pPr>
              <w:pStyle w:val="18"/>
              <w:spacing w:after="0" w:line="240" w:lineRule="auto"/>
              <w:ind w:left="0"/>
              <w:jc w:val="both"/>
              <w:rPr>
                <w:rFonts w:ascii="Arial" w:hAnsi="Arial" w:cs="Arial"/>
                <w:sz w:val="20"/>
              </w:rPr>
            </w:pPr>
          </w:p>
        </w:tc>
        <w:tc>
          <w:tcPr>
            <w:tcW w:w="4508" w:type="dxa"/>
          </w:tcPr>
          <w:p>
            <w:pPr>
              <w:pStyle w:val="18"/>
              <w:numPr>
                <w:ilvl w:val="0"/>
                <w:numId w:val="4"/>
              </w:numPr>
              <w:spacing w:after="0" w:line="240" w:lineRule="auto"/>
              <w:ind w:left="459"/>
              <w:jc w:val="both"/>
              <w:rPr>
                <w:rFonts w:ascii="Arial" w:hAnsi="Arial" w:cs="Arial"/>
                <w:sz w:val="20"/>
              </w:rPr>
            </w:pPr>
            <w:r>
              <w:rPr>
                <w:rFonts w:ascii="Arial" w:hAnsi="Arial" w:cs="Arial"/>
                <w:sz w:val="20"/>
              </w:rPr>
              <w:t>FDSSUPPORT03</w:t>
            </w:r>
          </w:p>
        </w:tc>
      </w:tr>
    </w:tbl>
    <w:p>
      <w:pPr>
        <w:pStyle w:val="18"/>
        <w:spacing w:line="240" w:lineRule="auto"/>
        <w:jc w:val="both"/>
        <w:rPr>
          <w:rFonts w:ascii="Arial" w:hAnsi="Arial" w:cs="Arial"/>
        </w:rPr>
      </w:pPr>
    </w:p>
    <w:p>
      <w:pPr>
        <w:pStyle w:val="18"/>
        <w:spacing w:line="240" w:lineRule="auto"/>
        <w:jc w:val="both"/>
        <w:rPr>
          <w:rFonts w:ascii="Arial" w:hAnsi="Arial" w:cs="Arial"/>
        </w:rPr>
      </w:pPr>
      <w:r>
        <w:rPr>
          <w:rFonts w:ascii="Arial" w:hAnsi="Arial" w:cs="Arial"/>
        </w:rPr>
        <w:t xml:space="preserve">Sejumlah akun user vendor tersebut digunakan untuk membantu Bank dalam menyelesaikan permasalahan operasional yang dihadapi oleh Bank ketika menggunakan aplikasi T24 Konven maupun T24 Syariah. Namun, sejumlah akun user dari vendor tersebut tidak teridentifikasi memiliki </w:t>
      </w:r>
      <w:r>
        <w:rPr>
          <w:rFonts w:ascii="Arial" w:hAnsi="Arial" w:cs="Arial"/>
          <w:i/>
        </w:rPr>
        <w:t>role</w:t>
      </w:r>
      <w:r>
        <w:rPr>
          <w:rFonts w:ascii="Arial" w:hAnsi="Arial" w:cs="Arial"/>
        </w:rPr>
        <w:t>/</w:t>
      </w:r>
      <w:r>
        <w:rPr>
          <w:rFonts w:ascii="Arial" w:hAnsi="Arial" w:cs="Arial"/>
          <w:i/>
        </w:rPr>
        <w:t>group</w:t>
      </w:r>
      <w:r>
        <w:rPr>
          <w:rFonts w:ascii="Arial" w:hAnsi="Arial" w:cs="Arial"/>
        </w:rPr>
        <w:t xml:space="preserve"> pada aplikasi T24 Konven maupun T24 Syariah. Bank juga belum mendokumentasikan batasan apa saja yang dapat dilakukan oleh akun user dari vendor tersebut.</w:t>
      </w:r>
    </w:p>
    <w:p>
      <w:pPr>
        <w:pStyle w:val="18"/>
        <w:spacing w:after="0" w:line="240" w:lineRule="auto"/>
        <w:ind w:left="1069"/>
        <w:jc w:val="both"/>
        <w:rPr>
          <w:rFonts w:ascii="Arial" w:hAnsi="Arial" w:cs="Arial"/>
          <w:b/>
        </w:rPr>
      </w:pPr>
      <w:r>
        <w:rPr>
          <w:rFonts w:ascii="Arial" w:hAnsi="Arial" w:cs="Arial"/>
          <w:b/>
        </w:rPr>
        <w:tab/>
      </w:r>
    </w:p>
    <w:p>
      <w:pPr>
        <w:pStyle w:val="18"/>
        <w:spacing w:line="240" w:lineRule="auto"/>
        <w:ind w:left="709"/>
        <w:jc w:val="both"/>
        <w:rPr>
          <w:rFonts w:ascii="Arial" w:hAnsi="Arial" w:cs="Arial"/>
          <w:b/>
        </w:rPr>
      </w:pPr>
      <w:r>
        <w:rPr>
          <w:rFonts w:ascii="Arial" w:hAnsi="Arial" w:cs="Arial"/>
          <w:b/>
        </w:rPr>
        <w:t>Risiko:</w:t>
      </w:r>
    </w:p>
    <w:p>
      <w:pPr>
        <w:pStyle w:val="18"/>
        <w:numPr>
          <w:ilvl w:val="0"/>
          <w:numId w:val="3"/>
        </w:numPr>
        <w:spacing w:after="0" w:line="240" w:lineRule="auto"/>
        <w:contextualSpacing w:val="0"/>
        <w:jc w:val="both"/>
        <w:rPr>
          <w:rFonts w:ascii="Arial" w:hAnsi="Arial" w:cs="Arial"/>
          <w:bCs/>
        </w:rPr>
      </w:pPr>
      <w:r>
        <w:rPr>
          <w:rFonts w:ascii="Arial" w:hAnsi="Arial" w:cs="Arial"/>
          <w:bCs/>
        </w:rPr>
        <w:t>Tanpa standar manajemen akses yang baku dapat menimbulkan risiko pemberian hak akses yang tidak sesuai dengan kebutuhan pengguna atau user.</w:t>
      </w:r>
    </w:p>
    <w:p>
      <w:pPr>
        <w:pStyle w:val="18"/>
        <w:numPr>
          <w:ilvl w:val="0"/>
          <w:numId w:val="3"/>
        </w:numPr>
        <w:spacing w:after="0" w:line="240" w:lineRule="auto"/>
        <w:contextualSpacing w:val="0"/>
        <w:jc w:val="both"/>
        <w:rPr>
          <w:rFonts w:ascii="Arial" w:hAnsi="Arial" w:cs="Arial"/>
          <w:bCs/>
        </w:rPr>
      </w:pPr>
      <w:r>
        <w:rPr>
          <w:rFonts w:ascii="Arial" w:hAnsi="Arial" w:cs="Arial"/>
          <w:bCs/>
        </w:rPr>
        <w:t>Tanpa adanya informasi terkait wewenang dan tanggung jawab user vendor, maka Bank akan dapat mengalami hambatan akurasi dalam melakukan audit/pemeriksaan berkala terhadap aktivitas transaksi yang tidak diotorisasi.</w:t>
      </w:r>
    </w:p>
    <w:p>
      <w:pPr>
        <w:pStyle w:val="18"/>
        <w:spacing w:after="0" w:line="240" w:lineRule="auto"/>
        <w:ind w:left="709"/>
        <w:contextualSpacing w:val="0"/>
        <w:jc w:val="both"/>
        <w:rPr>
          <w:rFonts w:ascii="Arial" w:hAnsi="Arial" w:cs="Arial"/>
          <w:bCs/>
        </w:rPr>
      </w:pPr>
    </w:p>
    <w:p>
      <w:pPr>
        <w:pStyle w:val="18"/>
        <w:spacing w:after="0" w:line="240" w:lineRule="auto"/>
        <w:ind w:left="709"/>
        <w:contextualSpacing w:val="0"/>
        <w:jc w:val="both"/>
        <w:rPr>
          <w:rFonts w:ascii="Arial" w:hAnsi="Arial" w:cs="Arial"/>
          <w:b/>
        </w:rPr>
      </w:pPr>
      <w:r>
        <w:rPr>
          <w:rFonts w:ascii="Arial" w:hAnsi="Arial" w:cs="Arial"/>
          <w:b/>
        </w:rPr>
        <w:t>Rekomendasi:</w:t>
      </w:r>
    </w:p>
    <w:p>
      <w:pPr>
        <w:pStyle w:val="18"/>
        <w:numPr>
          <w:ilvl w:val="0"/>
          <w:numId w:val="3"/>
        </w:numPr>
        <w:spacing w:after="0" w:line="240" w:lineRule="auto"/>
        <w:contextualSpacing w:val="0"/>
        <w:jc w:val="both"/>
        <w:rPr>
          <w:rFonts w:ascii="Arial" w:hAnsi="Arial" w:cs="Arial"/>
          <w:bCs/>
        </w:rPr>
      </w:pPr>
      <w:r>
        <w:rPr>
          <w:rFonts w:ascii="Arial" w:hAnsi="Arial" w:cs="Arial"/>
          <w:bCs/>
        </w:rPr>
        <w:t xml:space="preserve">Bank menyusun </w:t>
      </w:r>
      <w:r>
        <w:rPr>
          <w:rFonts w:ascii="Arial" w:hAnsi="Arial" w:cs="Arial"/>
          <w:bCs/>
          <w:i/>
        </w:rPr>
        <w:t>user access matrix</w:t>
      </w:r>
      <w:r>
        <w:rPr>
          <w:rFonts w:ascii="Arial" w:hAnsi="Arial" w:cs="Arial"/>
          <w:bCs/>
        </w:rPr>
        <w:t xml:space="preserve"> yang secara formal dicakupkan ke dalam kebijakan yang baku dan mencakup untuk user internal maupun user eksternal. Dalam praktiknya, </w:t>
      </w:r>
      <w:r>
        <w:rPr>
          <w:rFonts w:ascii="Arial" w:hAnsi="Arial" w:cs="Arial"/>
          <w:bCs/>
          <w:i/>
        </w:rPr>
        <w:t>user access matrix</w:t>
      </w:r>
      <w:r>
        <w:rPr>
          <w:rFonts w:ascii="Arial" w:hAnsi="Arial" w:cs="Arial"/>
          <w:bCs/>
        </w:rPr>
        <w:t xml:space="preserve"> dapat disusun berdasarkan pemetaan fungsi/kelompok fungsi pada sistem terhadap kelompok/unit kerja pengguna. Matriks tersebut dijadikan acuan dalam memberikan hak akses kepada suatu kelompok/unit kerja sesuai dengan kebutuhan tugas dan tanggung jawab kelompok/unit kerja tersebut. </w:t>
      </w:r>
    </w:p>
    <w:p>
      <w:pPr>
        <w:pStyle w:val="18"/>
        <w:numPr>
          <w:ilvl w:val="0"/>
          <w:numId w:val="3"/>
        </w:numPr>
        <w:spacing w:after="0" w:line="240" w:lineRule="auto"/>
        <w:contextualSpacing w:val="0"/>
        <w:jc w:val="both"/>
        <w:rPr>
          <w:rFonts w:ascii="Arial" w:hAnsi="Arial" w:cs="Arial"/>
          <w:bCs/>
          <w:lang w:val="nl-NL"/>
        </w:rPr>
      </w:pPr>
      <w:r>
        <w:rPr>
          <w:rFonts w:ascii="Arial" w:hAnsi="Arial" w:cs="Arial"/>
          <w:bCs/>
          <w:lang w:val="nl-NL"/>
        </w:rPr>
        <w:t>Bank menetapkan dan mendokumentasikan batasan yang dapat dilakukan oleh user dari Vendor tersebut.</w:t>
      </w:r>
    </w:p>
    <w:p>
      <w:pPr>
        <w:pStyle w:val="18"/>
        <w:spacing w:after="0" w:line="240" w:lineRule="auto"/>
        <w:ind w:left="709"/>
        <w:contextualSpacing w:val="0"/>
        <w:jc w:val="both"/>
        <w:rPr>
          <w:rFonts w:ascii="Arial" w:hAnsi="Arial" w:cs="Arial"/>
          <w:b/>
          <w:lang w:val="nl-NL"/>
        </w:rPr>
      </w:pPr>
    </w:p>
    <w:p>
      <w:pPr>
        <w:pStyle w:val="18"/>
        <w:spacing w:line="240" w:lineRule="auto"/>
        <w:ind w:left="709"/>
        <w:jc w:val="both"/>
        <w:rPr>
          <w:rFonts w:ascii="Arial" w:hAnsi="Arial" w:cs="Arial"/>
          <w:b/>
        </w:rPr>
      </w:pPr>
      <w:r>
        <w:rPr>
          <w:rFonts w:ascii="Arial" w:hAnsi="Arial" w:cs="Arial"/>
          <w:b/>
        </w:rPr>
        <w:t>Tanggapan Manajemen:</w:t>
      </w:r>
    </w:p>
    <w:p>
      <w:pPr>
        <w:pStyle w:val="18"/>
        <w:numPr>
          <w:ilvl w:val="0"/>
          <w:numId w:val="3"/>
        </w:numPr>
        <w:spacing w:after="0" w:line="240" w:lineRule="auto"/>
        <w:contextualSpacing w:val="0"/>
        <w:jc w:val="both"/>
        <w:rPr>
          <w:rFonts w:ascii="Arial" w:hAnsi="Arial" w:cs="Arial"/>
          <w:bCs/>
        </w:rPr>
      </w:pPr>
      <w:r>
        <w:rPr>
          <w:rFonts w:ascii="Arial" w:hAnsi="Arial" w:cs="Arial"/>
          <w:bCs/>
        </w:rPr>
        <w:t xml:space="preserve">Bank akan menyusun </w:t>
      </w:r>
      <w:r>
        <w:rPr>
          <w:rFonts w:ascii="Arial" w:hAnsi="Arial" w:cs="Arial"/>
          <w:bCs/>
          <w:i/>
          <w:iCs/>
        </w:rPr>
        <w:t>user access matrix</w:t>
      </w:r>
      <w:r>
        <w:rPr>
          <w:rFonts w:ascii="Arial" w:hAnsi="Arial" w:cs="Arial"/>
          <w:bCs/>
        </w:rPr>
        <w:t xml:space="preserve"> sebagaimana rekomendasi auditor.</w:t>
      </w:r>
    </w:p>
    <w:p>
      <w:pPr>
        <w:pStyle w:val="18"/>
        <w:numPr>
          <w:ilvl w:val="0"/>
          <w:numId w:val="3"/>
        </w:numPr>
        <w:spacing w:after="0" w:line="240" w:lineRule="auto"/>
        <w:contextualSpacing w:val="0"/>
        <w:jc w:val="both"/>
        <w:rPr>
          <w:rFonts w:ascii="Arial" w:hAnsi="Arial" w:cs="Arial"/>
          <w:bCs/>
        </w:rPr>
      </w:pPr>
      <w:r>
        <w:rPr>
          <w:rFonts w:ascii="Arial" w:hAnsi="Arial" w:cs="Arial"/>
          <w:bCs/>
        </w:rPr>
        <w:t>Bank akan menetapkan dan mendokumentasikan batasan yang dapat dilakukan oleh user.</w:t>
      </w:r>
    </w:p>
    <w:p>
      <w:pPr>
        <w:pStyle w:val="18"/>
        <w:spacing w:after="0" w:line="240" w:lineRule="auto"/>
        <w:ind w:left="709"/>
        <w:contextualSpacing w:val="0"/>
        <w:jc w:val="both"/>
        <w:rPr>
          <w:rFonts w:hint="default" w:ascii="Arial" w:hAnsi="Arial" w:cs="Arial"/>
          <w:b w:val="0"/>
          <w:bCs/>
          <w:lang w:val="zh-CN"/>
        </w:rPr>
      </w:pPr>
      <w:r>
        <w:rPr>
          <w:rFonts w:hint="default" w:ascii="Arial" w:hAnsi="Arial" w:cs="Arial"/>
          <w:b w:val="0"/>
          <w:bCs/>
          <w:lang w:val="zh-CN"/>
        </w:rPr>
        <w:t>Target Triwulan II tahun 2023.</w:t>
      </w:r>
    </w:p>
    <w:p>
      <w:pPr>
        <w:pStyle w:val="18"/>
        <w:spacing w:after="0" w:line="240" w:lineRule="auto"/>
        <w:ind w:left="709"/>
        <w:contextualSpacing w:val="0"/>
        <w:jc w:val="both"/>
        <w:rPr>
          <w:rFonts w:ascii="Arial" w:hAnsi="Arial" w:cs="Arial"/>
          <w:b/>
        </w:rPr>
      </w:pPr>
    </w:p>
    <w:p>
      <w:pPr>
        <w:pStyle w:val="18"/>
        <w:numPr>
          <w:ilvl w:val="1"/>
          <w:numId w:val="1"/>
        </w:numPr>
        <w:spacing w:line="240" w:lineRule="auto"/>
        <w:ind w:left="709" w:hanging="283"/>
        <w:jc w:val="both"/>
        <w:rPr>
          <w:rFonts w:ascii="Arial" w:hAnsi="Arial" w:cs="Arial"/>
          <w:b/>
          <w:lang w:val="nl-NL"/>
        </w:rPr>
      </w:pPr>
      <w:r>
        <w:rPr>
          <w:rFonts w:ascii="Arial" w:hAnsi="Arial" w:cs="Arial"/>
          <w:b/>
          <w:lang w:val="nl-NL"/>
        </w:rPr>
        <w:br w:type="column"/>
      </w:r>
      <w:r>
        <w:rPr>
          <w:rFonts w:ascii="Arial" w:hAnsi="Arial" w:cs="Arial"/>
          <w:b/>
          <w:lang w:val="nl-NL"/>
        </w:rPr>
        <w:t>Perlu Peningkatan Pengelolaan Akun User yang Meninggalkan Bank</w:t>
      </w:r>
    </w:p>
    <w:p>
      <w:pPr>
        <w:pStyle w:val="18"/>
        <w:spacing w:line="240" w:lineRule="auto"/>
        <w:jc w:val="both"/>
        <w:rPr>
          <w:rFonts w:ascii="Arial" w:hAnsi="Arial" w:cs="Arial"/>
          <w:b/>
          <w:lang w:val="nl-NL"/>
        </w:rPr>
      </w:pPr>
    </w:p>
    <w:p>
      <w:pPr>
        <w:pStyle w:val="18"/>
        <w:spacing w:line="240" w:lineRule="auto"/>
        <w:jc w:val="both"/>
        <w:rPr>
          <w:rFonts w:ascii="Arial" w:hAnsi="Arial" w:cs="Arial"/>
          <w:b/>
          <w:lang w:val="nl-NL"/>
        </w:rPr>
      </w:pPr>
      <w:r>
        <w:rPr>
          <w:rFonts w:ascii="Arial" w:hAnsi="Arial" w:cs="Arial"/>
          <w:b/>
          <w:lang w:val="nl-NL"/>
        </w:rPr>
        <w:t>Kondisi:</w:t>
      </w:r>
    </w:p>
    <w:p>
      <w:pPr>
        <w:pStyle w:val="18"/>
        <w:spacing w:line="240" w:lineRule="auto"/>
        <w:jc w:val="both"/>
        <w:rPr>
          <w:rFonts w:ascii="Arial" w:hAnsi="Arial" w:cs="Arial"/>
          <w:bCs/>
          <w:lang w:val="nl-NL"/>
        </w:rPr>
      </w:pPr>
      <w:r>
        <w:rPr>
          <w:rFonts w:ascii="Arial" w:hAnsi="Arial" w:cs="Arial"/>
          <w:bCs/>
          <w:lang w:val="nl-NL"/>
        </w:rPr>
        <w:t xml:space="preserve">Berdasarkan hasil observasi yang dilakukan terhadap prosedur pengelolaan User ketika pengguna meninggalkan entitas, Tim TSI Bank akan mendapatkan informasi karyawan yang meninggalkan Bank dari Tim Human Capital, kemudian Tim TSI akan melakukan penonaktifan akun karyawan tersebut dengan melakukan perubahan pada </w:t>
      </w:r>
      <w:r>
        <w:rPr>
          <w:rFonts w:ascii="Arial" w:hAnsi="Arial" w:cs="Arial"/>
          <w:bCs/>
          <w:i/>
          <w:lang w:val="nl-NL"/>
        </w:rPr>
        <w:t>Profile Expiry Date</w:t>
      </w:r>
      <w:r>
        <w:rPr>
          <w:rFonts w:ascii="Arial" w:hAnsi="Arial" w:cs="Arial"/>
          <w:bCs/>
          <w:lang w:val="nl-NL"/>
        </w:rPr>
        <w:t xml:space="preserve">. Dengan melakukan penyesuaian terhadap </w:t>
      </w:r>
      <w:r>
        <w:rPr>
          <w:rFonts w:ascii="Arial" w:hAnsi="Arial" w:cs="Arial"/>
          <w:bCs/>
          <w:i/>
          <w:lang w:val="nl-NL"/>
        </w:rPr>
        <w:t>Profile Expiry Date</w:t>
      </w:r>
      <w:r>
        <w:rPr>
          <w:rFonts w:ascii="Arial" w:hAnsi="Arial" w:cs="Arial"/>
          <w:bCs/>
          <w:lang w:val="nl-NL"/>
        </w:rPr>
        <w:t>, maka akun karyawan tersebut tidak akan dapat digunakan apabila sudah melewati tanggal yang ditetapkan.</w:t>
      </w:r>
    </w:p>
    <w:p>
      <w:pPr>
        <w:pStyle w:val="18"/>
        <w:spacing w:line="240" w:lineRule="auto"/>
        <w:jc w:val="both"/>
        <w:rPr>
          <w:rFonts w:ascii="Arial" w:hAnsi="Arial" w:cs="Arial"/>
          <w:bCs/>
          <w:lang w:val="nl-NL"/>
        </w:rPr>
      </w:pPr>
    </w:p>
    <w:p>
      <w:pPr>
        <w:pStyle w:val="18"/>
        <w:spacing w:line="240" w:lineRule="auto"/>
        <w:jc w:val="both"/>
        <w:rPr>
          <w:rFonts w:ascii="Arial" w:hAnsi="Arial" w:cs="Arial"/>
          <w:bCs/>
          <w:lang w:val="nl-NL"/>
        </w:rPr>
      </w:pPr>
      <w:r>
        <w:rPr>
          <w:rFonts w:ascii="Arial" w:hAnsi="Arial" w:cs="Arial"/>
          <w:bCs/>
          <w:lang w:val="nl-NL"/>
        </w:rPr>
        <w:t xml:space="preserve">Namun, berdasarkan pemeriksaan yang telah dilakukan terhadap daftar Akun User yang terdapat pada aplikasi T24 Konven dan T24 Syariah, ditemukan bahwa terdapat sebanyak 17 karyawan yang sudah meninggalkan Bank, tetapi akun user tersebut terlambat dinonaktifkan pada aplikasi T24 Konven maupun T24 Syariah. Dari sebanyak 17 akun user tersebut, </w:t>
      </w:r>
      <w:r>
        <w:rPr>
          <w:rFonts w:ascii="Arial" w:hAnsi="Arial" w:cs="Arial"/>
          <w:lang w:val="nl-NL"/>
        </w:rPr>
        <w:t xml:space="preserve">ditemukan sebanyak 6 karyawan yang sudah meninggalkan Bank, tetapi memiliki </w:t>
      </w:r>
      <w:r>
        <w:rPr>
          <w:rFonts w:ascii="Arial" w:hAnsi="Arial" w:cs="Arial"/>
          <w:bCs/>
          <w:i/>
          <w:lang w:val="nl-NL"/>
        </w:rPr>
        <w:t>Profile Expiry Date</w:t>
      </w:r>
      <w:r>
        <w:rPr>
          <w:rFonts w:ascii="Arial" w:hAnsi="Arial" w:cs="Arial"/>
          <w:bCs/>
          <w:lang w:val="nl-NL"/>
        </w:rPr>
        <w:t xml:space="preserve"> pada tahun 2099. Sebanyak 17 akun tersebut diantaranya adalah seperti berikut.</w:t>
      </w:r>
    </w:p>
    <w:tbl>
      <w:tblPr>
        <w:tblStyle w:val="5"/>
        <w:tblW w:w="8857"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0"/>
        <w:gridCol w:w="1262"/>
        <w:gridCol w:w="2305"/>
        <w:gridCol w:w="1261"/>
        <w:gridCol w:w="1290"/>
        <w:gridCol w:w="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1820" w:type="dxa"/>
            <w:shd w:val="clear" w:color="000000" w:fill="DDEBF7"/>
            <w:noWrap/>
            <w:vAlign w:val="center"/>
          </w:tcPr>
          <w:p>
            <w:pPr>
              <w:spacing w:before="40" w:after="40" w:line="240" w:lineRule="auto"/>
              <w:jc w:val="center"/>
              <w:rPr>
                <w:rFonts w:ascii="Arial" w:hAnsi="Arial" w:eastAsia="Times New Roman" w:cs="Arial"/>
                <w:b/>
                <w:bCs/>
                <w:sz w:val="16"/>
                <w:szCs w:val="16"/>
                <w:lang w:val="id-ID" w:eastAsia="id-ID"/>
              </w:rPr>
            </w:pPr>
            <w:r>
              <w:rPr>
                <w:rFonts w:ascii="Arial" w:hAnsi="Arial" w:eastAsia="Times New Roman" w:cs="Arial"/>
                <w:b/>
                <w:bCs/>
                <w:sz w:val="16"/>
                <w:szCs w:val="16"/>
                <w:lang w:val="id-ID" w:eastAsia="id-ID"/>
              </w:rPr>
              <w:t>Nama</w:t>
            </w:r>
          </w:p>
        </w:tc>
        <w:tc>
          <w:tcPr>
            <w:tcW w:w="1262" w:type="dxa"/>
            <w:shd w:val="clear" w:color="000000" w:fill="DDEBF7"/>
            <w:noWrap/>
            <w:vAlign w:val="center"/>
          </w:tcPr>
          <w:p>
            <w:pPr>
              <w:spacing w:before="40" w:after="40" w:line="240" w:lineRule="auto"/>
              <w:jc w:val="center"/>
              <w:rPr>
                <w:rFonts w:ascii="Arial" w:hAnsi="Arial" w:eastAsia="Times New Roman" w:cs="Arial"/>
                <w:b/>
                <w:bCs/>
                <w:sz w:val="16"/>
                <w:szCs w:val="16"/>
                <w:lang w:eastAsia="id-ID"/>
              </w:rPr>
            </w:pPr>
            <w:r>
              <w:rPr>
                <w:rFonts w:ascii="Arial" w:hAnsi="Arial" w:eastAsia="Times New Roman" w:cs="Arial"/>
                <w:b/>
                <w:bCs/>
                <w:sz w:val="16"/>
                <w:szCs w:val="16"/>
                <w:lang w:eastAsia="id-ID"/>
              </w:rPr>
              <w:t>Tanggal Keluar</w:t>
            </w:r>
          </w:p>
        </w:tc>
        <w:tc>
          <w:tcPr>
            <w:tcW w:w="2305" w:type="dxa"/>
            <w:shd w:val="clear" w:color="000000" w:fill="DDEBF7"/>
            <w:noWrap/>
            <w:vAlign w:val="center"/>
          </w:tcPr>
          <w:p>
            <w:pPr>
              <w:spacing w:before="40" w:after="40" w:line="240" w:lineRule="auto"/>
              <w:jc w:val="center"/>
              <w:rPr>
                <w:rFonts w:ascii="Arial" w:hAnsi="Arial" w:eastAsia="Times New Roman" w:cs="Arial"/>
                <w:b/>
                <w:bCs/>
                <w:sz w:val="16"/>
                <w:szCs w:val="16"/>
                <w:lang w:val="id-ID" w:eastAsia="id-ID"/>
              </w:rPr>
            </w:pPr>
            <w:r>
              <w:rPr>
                <w:rFonts w:ascii="Arial" w:hAnsi="Arial" w:eastAsia="Times New Roman" w:cs="Arial"/>
                <w:b/>
                <w:bCs/>
                <w:sz w:val="16"/>
                <w:szCs w:val="16"/>
                <w:lang w:val="id-ID" w:eastAsia="id-ID"/>
              </w:rPr>
              <w:t>Jabatan</w:t>
            </w:r>
          </w:p>
        </w:tc>
        <w:tc>
          <w:tcPr>
            <w:tcW w:w="1261" w:type="dxa"/>
            <w:shd w:val="clear" w:color="000000" w:fill="DDEBF7"/>
            <w:noWrap/>
            <w:vAlign w:val="center"/>
          </w:tcPr>
          <w:p>
            <w:pPr>
              <w:spacing w:before="40" w:after="40" w:line="240" w:lineRule="auto"/>
              <w:jc w:val="center"/>
              <w:rPr>
                <w:rFonts w:ascii="Arial" w:hAnsi="Arial" w:eastAsia="Times New Roman" w:cs="Arial"/>
                <w:b/>
                <w:bCs/>
                <w:sz w:val="16"/>
                <w:szCs w:val="16"/>
                <w:lang w:val="id-ID" w:eastAsia="id-ID"/>
              </w:rPr>
            </w:pPr>
            <w:r>
              <w:rPr>
                <w:rFonts w:ascii="Arial" w:hAnsi="Arial" w:eastAsia="Times New Roman" w:cs="Arial"/>
                <w:b/>
                <w:bCs/>
                <w:sz w:val="16"/>
                <w:szCs w:val="16"/>
                <w:lang w:val="id-ID" w:eastAsia="id-ID"/>
              </w:rPr>
              <w:t>Expired Date Konven</w:t>
            </w:r>
          </w:p>
        </w:tc>
        <w:tc>
          <w:tcPr>
            <w:tcW w:w="1290" w:type="dxa"/>
            <w:shd w:val="clear" w:color="000000" w:fill="DDEBF7"/>
            <w:noWrap/>
            <w:vAlign w:val="center"/>
          </w:tcPr>
          <w:p>
            <w:pPr>
              <w:spacing w:before="40" w:after="40" w:line="240" w:lineRule="auto"/>
              <w:jc w:val="center"/>
              <w:rPr>
                <w:rFonts w:ascii="Arial" w:hAnsi="Arial" w:eastAsia="Times New Roman" w:cs="Arial"/>
                <w:b/>
                <w:bCs/>
                <w:sz w:val="16"/>
                <w:szCs w:val="16"/>
                <w:lang w:val="id-ID" w:eastAsia="id-ID"/>
              </w:rPr>
            </w:pPr>
            <w:r>
              <w:rPr>
                <w:rFonts w:ascii="Arial" w:hAnsi="Arial" w:eastAsia="Times New Roman" w:cs="Arial"/>
                <w:b/>
                <w:bCs/>
                <w:sz w:val="16"/>
                <w:szCs w:val="16"/>
                <w:lang w:val="id-ID" w:eastAsia="id-ID"/>
              </w:rPr>
              <w:t>Expired date Syariah</w:t>
            </w:r>
          </w:p>
        </w:tc>
        <w:tc>
          <w:tcPr>
            <w:tcW w:w="919" w:type="dxa"/>
            <w:shd w:val="clear" w:color="000000" w:fill="DDEBF7"/>
            <w:vAlign w:val="center"/>
          </w:tcPr>
          <w:p>
            <w:pPr>
              <w:spacing w:before="40" w:after="40" w:line="240" w:lineRule="auto"/>
              <w:jc w:val="center"/>
              <w:rPr>
                <w:rFonts w:ascii="Arial" w:hAnsi="Arial" w:eastAsia="Times New Roman" w:cs="Arial"/>
                <w:b/>
                <w:bCs/>
                <w:sz w:val="16"/>
                <w:szCs w:val="16"/>
                <w:lang w:eastAsia="id-ID"/>
              </w:rPr>
            </w:pPr>
            <w:r>
              <w:rPr>
                <w:rFonts w:ascii="Arial" w:hAnsi="Arial" w:eastAsia="Times New Roman" w:cs="Arial"/>
                <w:b/>
                <w:bCs/>
                <w:sz w:val="16"/>
                <w:szCs w:val="16"/>
                <w:lang w:eastAsia="id-ID"/>
              </w:rPr>
              <w:t>Status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Achmad Rifa'i</w:t>
            </w:r>
          </w:p>
        </w:tc>
        <w:tc>
          <w:tcPr>
            <w:tcW w:w="1262" w:type="dxa"/>
            <w:shd w:val="clear" w:color="auto" w:fill="auto"/>
            <w:noWrap/>
          </w:tcPr>
          <w:p>
            <w:pPr>
              <w:spacing w:before="40" w:after="40" w:line="240" w:lineRule="auto"/>
              <w:jc w:val="center"/>
              <w:rPr>
                <w:rFonts w:ascii="Arial" w:hAnsi="Arial" w:eastAsia="Times New Roman" w:cs="Arial"/>
                <w:color w:val="000000"/>
                <w:sz w:val="16"/>
                <w:szCs w:val="16"/>
                <w:lang w:val="id-ID" w:eastAsia="id-ID"/>
              </w:rPr>
            </w:pPr>
            <w:r>
              <w:rPr>
                <w:rFonts w:ascii="Arial" w:hAnsi="Arial" w:cs="Arial"/>
                <w:color w:val="000000"/>
                <w:sz w:val="16"/>
                <w:szCs w:val="16"/>
              </w:rPr>
              <w:t>10-Aug-22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Operasional</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919" w:type="dxa"/>
            <w:shd w:val="clear" w:color="auto" w:fill="FDE9D9" w:themeFill="accent6" w:themeFillTint="33"/>
          </w:tcPr>
          <w:p>
            <w:pPr>
              <w:spacing w:before="40" w:after="40" w:line="240" w:lineRule="auto"/>
              <w:jc w:val="center"/>
              <w:rPr>
                <w:rFonts w:ascii="Arial" w:hAnsi="Arial" w:eastAsia="Times New Roman" w:cs="Arial"/>
                <w:sz w:val="16"/>
                <w:szCs w:val="16"/>
                <w:lang w:eastAsia="id-ID"/>
              </w:rPr>
            </w:pPr>
            <w:r>
              <w:rPr>
                <w:rFonts w:ascii="Arial" w:hAnsi="Arial" w:eastAsia="Times New Roman" w:cs="Arial"/>
                <w:sz w:val="16"/>
                <w:szCs w:val="16"/>
                <w:lang w:eastAsia="id-ID"/>
              </w:rPr>
              <w:t>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Dita Permatasari</w:t>
            </w:r>
          </w:p>
        </w:tc>
        <w:tc>
          <w:tcPr>
            <w:tcW w:w="1262" w:type="dxa"/>
            <w:shd w:val="clear" w:color="auto" w:fill="auto"/>
            <w:noWrap/>
          </w:tcPr>
          <w:p>
            <w:pPr>
              <w:spacing w:before="40" w:after="40" w:line="240" w:lineRule="auto"/>
              <w:jc w:val="center"/>
              <w:rPr>
                <w:rFonts w:ascii="Arial" w:hAnsi="Arial" w:eastAsia="Times New Roman" w:cs="Arial"/>
                <w:color w:val="000000"/>
                <w:sz w:val="16"/>
                <w:szCs w:val="16"/>
                <w:lang w:val="id-ID" w:eastAsia="id-ID"/>
              </w:rPr>
            </w:pPr>
            <w:r>
              <w:rPr>
                <w:rFonts w:ascii="Arial" w:hAnsi="Arial" w:cs="Arial"/>
                <w:color w:val="000000"/>
                <w:sz w:val="16"/>
                <w:szCs w:val="16"/>
              </w:rPr>
              <w:t>12-Aug-22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Transaksi Kredit</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919" w:type="dxa"/>
            <w:shd w:val="clear" w:color="auto" w:fill="FDE9D9" w:themeFill="accent6" w:themeFillTint="33"/>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Firda Nur Annisa</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24-Oct-22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Pelayanan Nasabah (Teller)</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919" w:type="dxa"/>
            <w:shd w:val="clear" w:color="auto" w:fill="FDE9D9" w:themeFill="accent6" w:themeFillTint="33"/>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Dita Permata Puteri</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03-Oct-22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Pelayanan Nasabah (Teller)</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919" w:type="dxa"/>
            <w:shd w:val="clear" w:color="auto" w:fill="FDE9D9" w:themeFill="accent6" w:themeFillTint="33"/>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Hendry Septian Saputra</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24-Oct-22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Transaksi Kredit</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919" w:type="dxa"/>
            <w:shd w:val="clear" w:color="auto" w:fill="FDE9D9" w:themeFill="accent6" w:themeFillTint="33"/>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Muhammad Hanafiah</w:t>
            </w:r>
          </w:p>
        </w:tc>
        <w:tc>
          <w:tcPr>
            <w:tcW w:w="1262" w:type="dxa"/>
            <w:shd w:val="clear" w:color="auto" w:fill="auto"/>
            <w:noWrap/>
          </w:tcPr>
          <w:p>
            <w:pPr>
              <w:spacing w:before="40" w:after="40" w:line="240" w:lineRule="auto"/>
              <w:jc w:val="center"/>
              <w:rPr>
                <w:rFonts w:ascii="Arial" w:hAnsi="Arial" w:eastAsia="Times New Roman" w:cs="Arial"/>
                <w:color w:val="000000"/>
                <w:sz w:val="16"/>
                <w:szCs w:val="16"/>
                <w:lang w:val="id-ID" w:eastAsia="id-ID"/>
              </w:rPr>
            </w:pPr>
            <w:r>
              <w:rPr>
                <w:rFonts w:ascii="Arial" w:hAnsi="Arial" w:cs="Arial"/>
                <w:color w:val="000000"/>
                <w:sz w:val="16"/>
                <w:szCs w:val="16"/>
              </w:rPr>
              <w:t>31-Oct-22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Kepala Cabang</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01-Nov-22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31-Dec-99</w:t>
            </w:r>
          </w:p>
        </w:tc>
        <w:tc>
          <w:tcPr>
            <w:tcW w:w="919" w:type="dxa"/>
            <w:shd w:val="clear" w:color="auto" w:fill="FDE9D9" w:themeFill="accent6" w:themeFillTint="33"/>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Edward Maliq AS.</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07-Feb-22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Pemasaran</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#N/A</w:t>
            </w:r>
          </w:p>
        </w:tc>
        <w:tc>
          <w:tcPr>
            <w:tcW w:w="919" w:type="dxa"/>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Yuniar Fauzia</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01-Mar-22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Pemasaran (Funding)</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10-Jun-22</w:t>
            </w:r>
          </w:p>
        </w:tc>
        <w:tc>
          <w:tcPr>
            <w:tcW w:w="919" w:type="dxa"/>
            <w:shd w:val="clear" w:color="auto" w:fill="auto"/>
          </w:tcPr>
          <w:p>
            <w:pPr>
              <w:spacing w:before="40" w:after="40" w:line="240" w:lineRule="auto"/>
              <w:jc w:val="center"/>
              <w:rPr>
                <w:rFonts w:ascii="Arial" w:hAnsi="Arial" w:eastAsia="Times New Roman" w:cs="Arial"/>
                <w:sz w:val="16"/>
                <w:szCs w:val="16"/>
                <w:lang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Annisa Erliani</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21-Feb-22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Operasional</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10-Jun-22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Anton Tjahjadi</w:t>
            </w:r>
          </w:p>
        </w:tc>
        <w:tc>
          <w:tcPr>
            <w:tcW w:w="1262" w:type="dxa"/>
            <w:shd w:val="clear" w:color="auto" w:fill="auto"/>
            <w:noWrap/>
          </w:tcPr>
          <w:p>
            <w:pPr>
              <w:spacing w:before="40" w:after="40" w:line="240" w:lineRule="auto"/>
              <w:jc w:val="center"/>
              <w:rPr>
                <w:rFonts w:ascii="Arial" w:hAnsi="Arial" w:eastAsia="Times New Roman" w:cs="Arial"/>
                <w:color w:val="000000"/>
                <w:sz w:val="16"/>
                <w:szCs w:val="16"/>
                <w:lang w:val="id-ID" w:eastAsia="id-ID"/>
              </w:rPr>
            </w:pPr>
            <w:r>
              <w:rPr>
                <w:rFonts w:ascii="Arial" w:hAnsi="Arial" w:cs="Arial"/>
                <w:color w:val="000000"/>
                <w:sz w:val="16"/>
                <w:szCs w:val="16"/>
              </w:rPr>
              <w:t>31-Jan-22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KIC Cabang A. Yani Banjarmasin</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Eka Puspa Sari</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14-Feb-22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Pemasaran</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10-Jun-22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Gelly Susanti</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04-Apr-22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Operasional</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10-Jun-22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Indra Azhari</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01-Mar-22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Kredit/Pembiayaan Bermasalah Cabang Martapura</w:t>
            </w:r>
          </w:p>
        </w:tc>
        <w:tc>
          <w:tcPr>
            <w:tcW w:w="1261"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01-Mar-22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10-Jun-22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Linda Lusiana</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03-Jan-22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Teller Cabang Pembantu Pagatan</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Mega Pardosi</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07-Feb-22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Pelayanan Nasabah (Customer Service)</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Nanda Wulan Pratiwi</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03-Jan-22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Seksi Customer Service</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Sri Heldawati</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21-Mar-22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Pemasar Konsumer KC Pembantu Gunung Tinggi</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10-Jun-22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20"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Wahyu Adhitya</w:t>
            </w:r>
          </w:p>
        </w:tc>
        <w:tc>
          <w:tcPr>
            <w:tcW w:w="1262" w:type="dxa"/>
            <w:shd w:val="clear" w:color="auto" w:fill="auto"/>
            <w:noWrap/>
          </w:tcPr>
          <w:p>
            <w:pPr>
              <w:spacing w:before="40" w:after="40" w:line="240" w:lineRule="auto"/>
              <w:jc w:val="center"/>
              <w:rPr>
                <w:rFonts w:ascii="Arial" w:hAnsi="Arial" w:eastAsia="Times New Roman" w:cs="Arial"/>
                <w:sz w:val="16"/>
                <w:szCs w:val="16"/>
                <w:lang w:val="id-ID" w:eastAsia="id-ID"/>
              </w:rPr>
            </w:pPr>
            <w:r>
              <w:rPr>
                <w:rFonts w:ascii="Arial" w:hAnsi="Arial" w:cs="Arial"/>
                <w:sz w:val="16"/>
                <w:szCs w:val="16"/>
              </w:rPr>
              <w:t>21-Mar-22</w:t>
            </w:r>
          </w:p>
        </w:tc>
        <w:tc>
          <w:tcPr>
            <w:tcW w:w="2305" w:type="dxa"/>
            <w:shd w:val="clear" w:color="auto" w:fill="auto"/>
            <w:noWrap/>
          </w:tcPr>
          <w:p>
            <w:pPr>
              <w:spacing w:before="40" w:after="40" w:line="240" w:lineRule="auto"/>
              <w:rPr>
                <w:rFonts w:ascii="Arial" w:hAnsi="Arial" w:eastAsia="Times New Roman" w:cs="Arial"/>
                <w:sz w:val="16"/>
                <w:szCs w:val="16"/>
                <w:lang w:val="id-ID" w:eastAsia="id-ID"/>
              </w:rPr>
            </w:pPr>
            <w:r>
              <w:rPr>
                <w:rFonts w:ascii="Arial" w:hAnsi="Arial" w:eastAsia="Times New Roman" w:cs="Arial"/>
                <w:sz w:val="16"/>
                <w:szCs w:val="16"/>
                <w:lang w:val="id-ID" w:eastAsia="id-ID"/>
              </w:rPr>
              <w:t>Staf Pemasaran Cabang Pembantu Handil Bakti</w:t>
            </w:r>
          </w:p>
        </w:tc>
        <w:tc>
          <w:tcPr>
            <w:tcW w:w="1261"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18-May-22</w:t>
            </w:r>
          </w:p>
        </w:tc>
        <w:tc>
          <w:tcPr>
            <w:tcW w:w="1290" w:type="dxa"/>
            <w:shd w:val="clear" w:color="auto" w:fill="FDE9D9" w:themeFill="accent6" w:themeFillTint="33"/>
            <w:noWrap/>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val="id-ID" w:eastAsia="id-ID"/>
              </w:rPr>
              <w:t>10-Jun-22</w:t>
            </w:r>
          </w:p>
        </w:tc>
        <w:tc>
          <w:tcPr>
            <w:tcW w:w="919" w:type="dxa"/>
            <w:shd w:val="clear" w:color="auto" w:fill="auto"/>
          </w:tcPr>
          <w:p>
            <w:pPr>
              <w:spacing w:before="40" w:after="40" w:line="240" w:lineRule="auto"/>
              <w:jc w:val="center"/>
              <w:rPr>
                <w:rFonts w:ascii="Arial" w:hAnsi="Arial" w:eastAsia="Times New Roman" w:cs="Arial"/>
                <w:sz w:val="16"/>
                <w:szCs w:val="16"/>
                <w:lang w:val="id-ID" w:eastAsia="id-ID"/>
              </w:rPr>
            </w:pPr>
            <w:r>
              <w:rPr>
                <w:rFonts w:ascii="Arial" w:hAnsi="Arial" w:eastAsia="Times New Roman" w:cs="Arial"/>
                <w:sz w:val="16"/>
                <w:szCs w:val="16"/>
                <w:lang w:eastAsia="id-ID"/>
              </w:rPr>
              <w:t>Nonaktif</w:t>
            </w:r>
          </w:p>
        </w:tc>
      </w:tr>
    </w:tbl>
    <w:p>
      <w:pPr>
        <w:pStyle w:val="18"/>
        <w:spacing w:before="240" w:line="240" w:lineRule="auto"/>
        <w:jc w:val="both"/>
        <w:rPr>
          <w:rFonts w:ascii="Arial" w:hAnsi="Arial" w:cs="Arial"/>
        </w:rPr>
      </w:pPr>
      <w:r>
        <w:rPr>
          <w:rFonts w:ascii="Arial" w:hAnsi="Arial" w:cs="Arial"/>
        </w:rPr>
        <w:t>Selain itu ditemukan 17 akun yang terlambat dinonaktifkan lebih dari 3 bulan, ditemukan pula sebanyak 6 karyawan yang sudah meninggalkan Bank, tetapi akun user karyawan tersebut masih melakukan aktivitas Login ke sistem T24 Konven dan T24 Syariah setelah karyawan meninggalkan Bank. Sebanyak 6 akun tersebut diantaranya adalah seperti berikut:</w:t>
      </w:r>
    </w:p>
    <w:tbl>
      <w:tblPr>
        <w:tblStyle w:val="5"/>
        <w:tblW w:w="8833"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1418"/>
        <w:gridCol w:w="2738"/>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blHeader/>
        </w:trPr>
        <w:tc>
          <w:tcPr>
            <w:tcW w:w="1559" w:type="dxa"/>
            <w:shd w:val="clear" w:color="000000" w:fill="DDEBF7"/>
            <w:noWrap/>
            <w:vAlign w:val="center"/>
          </w:tcPr>
          <w:p>
            <w:pPr>
              <w:spacing w:before="60" w:after="60" w:line="240" w:lineRule="auto"/>
              <w:jc w:val="center"/>
              <w:rPr>
                <w:rFonts w:ascii="Arial" w:hAnsi="Arial" w:eastAsia="Times New Roman" w:cs="Arial"/>
                <w:b/>
                <w:bCs/>
                <w:sz w:val="16"/>
                <w:szCs w:val="20"/>
                <w:lang w:val="id-ID" w:eastAsia="id-ID"/>
              </w:rPr>
            </w:pPr>
            <w:r>
              <w:rPr>
                <w:rFonts w:ascii="Arial" w:hAnsi="Arial" w:eastAsia="Times New Roman" w:cs="Arial"/>
                <w:b/>
                <w:bCs/>
                <w:sz w:val="16"/>
                <w:szCs w:val="20"/>
                <w:lang w:val="id-ID" w:eastAsia="id-ID"/>
              </w:rPr>
              <w:t>Nama</w:t>
            </w:r>
          </w:p>
        </w:tc>
        <w:tc>
          <w:tcPr>
            <w:tcW w:w="1418" w:type="dxa"/>
            <w:shd w:val="clear" w:color="000000" w:fill="DDEBF7"/>
            <w:noWrap/>
            <w:vAlign w:val="center"/>
          </w:tcPr>
          <w:p>
            <w:pPr>
              <w:spacing w:before="60" w:after="60" w:line="240" w:lineRule="auto"/>
              <w:jc w:val="center"/>
              <w:rPr>
                <w:rFonts w:ascii="Arial" w:hAnsi="Arial" w:eastAsia="Times New Roman" w:cs="Arial"/>
                <w:b/>
                <w:bCs/>
                <w:sz w:val="16"/>
                <w:szCs w:val="20"/>
                <w:lang w:eastAsia="id-ID"/>
              </w:rPr>
            </w:pPr>
            <w:r>
              <w:rPr>
                <w:rFonts w:ascii="Arial" w:hAnsi="Arial" w:eastAsia="Times New Roman" w:cs="Arial"/>
                <w:b/>
                <w:bCs/>
                <w:sz w:val="16"/>
                <w:szCs w:val="20"/>
                <w:lang w:eastAsia="id-ID"/>
              </w:rPr>
              <w:t>Tanggal Keluar</w:t>
            </w:r>
          </w:p>
        </w:tc>
        <w:tc>
          <w:tcPr>
            <w:tcW w:w="2738" w:type="dxa"/>
            <w:shd w:val="clear" w:color="000000" w:fill="DDEBF7"/>
            <w:noWrap/>
            <w:vAlign w:val="center"/>
          </w:tcPr>
          <w:p>
            <w:pPr>
              <w:spacing w:before="60" w:after="60" w:line="240" w:lineRule="auto"/>
              <w:jc w:val="center"/>
              <w:rPr>
                <w:rFonts w:ascii="Arial" w:hAnsi="Arial" w:eastAsia="Times New Roman" w:cs="Arial"/>
                <w:b/>
                <w:bCs/>
                <w:sz w:val="16"/>
                <w:szCs w:val="20"/>
                <w:lang w:val="id-ID" w:eastAsia="id-ID"/>
              </w:rPr>
            </w:pPr>
            <w:r>
              <w:rPr>
                <w:rFonts w:ascii="Arial" w:hAnsi="Arial" w:eastAsia="Times New Roman" w:cs="Arial"/>
                <w:b/>
                <w:bCs/>
                <w:sz w:val="16"/>
                <w:szCs w:val="20"/>
                <w:lang w:val="id-ID" w:eastAsia="id-ID"/>
              </w:rPr>
              <w:t>Jabatan</w:t>
            </w:r>
          </w:p>
        </w:tc>
        <w:tc>
          <w:tcPr>
            <w:tcW w:w="1559" w:type="dxa"/>
            <w:shd w:val="clear" w:color="000000" w:fill="DDEBF7"/>
            <w:noWrap/>
            <w:vAlign w:val="center"/>
          </w:tcPr>
          <w:p>
            <w:pPr>
              <w:spacing w:before="60" w:after="60" w:line="240" w:lineRule="auto"/>
              <w:jc w:val="center"/>
              <w:rPr>
                <w:rFonts w:ascii="Arial" w:hAnsi="Arial" w:eastAsia="Times New Roman" w:cs="Arial"/>
                <w:b/>
                <w:bCs/>
                <w:sz w:val="16"/>
                <w:szCs w:val="20"/>
                <w:lang w:val="id-ID" w:eastAsia="id-ID"/>
              </w:rPr>
            </w:pPr>
            <w:r>
              <w:rPr>
                <w:rFonts w:ascii="Arial" w:hAnsi="Arial" w:eastAsia="Times New Roman" w:cs="Arial"/>
                <w:b/>
                <w:bCs/>
                <w:sz w:val="16"/>
                <w:szCs w:val="20"/>
                <w:lang w:val="id-ID" w:eastAsia="id-ID"/>
              </w:rPr>
              <w:t>Last Login T24 Konven</w:t>
            </w:r>
          </w:p>
        </w:tc>
        <w:tc>
          <w:tcPr>
            <w:tcW w:w="1559" w:type="dxa"/>
            <w:shd w:val="clear" w:color="000000" w:fill="DDEBF7"/>
            <w:noWrap/>
            <w:vAlign w:val="center"/>
          </w:tcPr>
          <w:p>
            <w:pPr>
              <w:spacing w:before="60" w:after="60" w:line="240" w:lineRule="auto"/>
              <w:jc w:val="center"/>
              <w:rPr>
                <w:rFonts w:ascii="Arial" w:hAnsi="Arial" w:eastAsia="Times New Roman" w:cs="Arial"/>
                <w:b/>
                <w:bCs/>
                <w:sz w:val="16"/>
                <w:szCs w:val="20"/>
                <w:lang w:val="id-ID" w:eastAsia="id-ID"/>
              </w:rPr>
            </w:pPr>
            <w:r>
              <w:rPr>
                <w:rFonts w:ascii="Arial" w:hAnsi="Arial" w:eastAsia="Times New Roman" w:cs="Arial"/>
                <w:b/>
                <w:bCs/>
                <w:sz w:val="16"/>
                <w:szCs w:val="20"/>
                <w:lang w:val="id-ID" w:eastAsia="id-ID"/>
              </w:rPr>
              <w:t>Last Login T24 Syariah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559"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Ahmad Akbar</w:t>
            </w:r>
          </w:p>
        </w:tc>
        <w:tc>
          <w:tcPr>
            <w:tcW w:w="1418"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30-Jun-22</w:t>
            </w:r>
          </w:p>
        </w:tc>
        <w:tc>
          <w:tcPr>
            <w:tcW w:w="2738"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Staf Bagian Support UMK</w:t>
            </w:r>
          </w:p>
        </w:tc>
        <w:tc>
          <w:tcPr>
            <w:tcW w:w="1559"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25-Jul-22</w:t>
            </w:r>
          </w:p>
        </w:tc>
        <w:tc>
          <w:tcPr>
            <w:tcW w:w="1559" w:type="dxa"/>
            <w:shd w:val="clear" w:color="auto" w:fill="FDE9D9" w:themeFill="accent6" w:themeFillTint="33"/>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30-Dec-21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559"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Achmad Rifa'i</w:t>
            </w:r>
          </w:p>
        </w:tc>
        <w:tc>
          <w:tcPr>
            <w:tcW w:w="1418" w:type="dxa"/>
            <w:shd w:val="clear" w:color="auto" w:fill="auto"/>
            <w:noWrap/>
          </w:tcPr>
          <w:p>
            <w:pPr>
              <w:spacing w:before="60" w:after="60" w:line="240" w:lineRule="auto"/>
              <w:jc w:val="center"/>
              <w:rPr>
                <w:rFonts w:ascii="Arial" w:hAnsi="Arial" w:eastAsia="Times New Roman" w:cs="Arial"/>
                <w:color w:val="000000"/>
                <w:sz w:val="16"/>
                <w:szCs w:val="20"/>
                <w:lang w:val="id-ID" w:eastAsia="id-ID"/>
              </w:rPr>
            </w:pPr>
            <w:r>
              <w:rPr>
                <w:rFonts w:ascii="Arial" w:hAnsi="Arial" w:cs="Arial"/>
                <w:sz w:val="16"/>
                <w:szCs w:val="20"/>
              </w:rPr>
              <w:t>10-Aug-22</w:t>
            </w:r>
          </w:p>
        </w:tc>
        <w:tc>
          <w:tcPr>
            <w:tcW w:w="2738"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Staf Seksi Operasional</w:t>
            </w:r>
          </w:p>
        </w:tc>
        <w:tc>
          <w:tcPr>
            <w:tcW w:w="1559"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00-Jan-00</w:t>
            </w:r>
          </w:p>
        </w:tc>
        <w:tc>
          <w:tcPr>
            <w:tcW w:w="1559" w:type="dxa"/>
            <w:shd w:val="clear" w:color="auto" w:fill="FDE9D9" w:themeFill="accent6" w:themeFillTint="33"/>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08-Nov-22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559"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Dita Permatasari</w:t>
            </w:r>
          </w:p>
        </w:tc>
        <w:tc>
          <w:tcPr>
            <w:tcW w:w="1418" w:type="dxa"/>
            <w:shd w:val="clear" w:color="auto" w:fill="auto"/>
            <w:noWrap/>
          </w:tcPr>
          <w:p>
            <w:pPr>
              <w:spacing w:before="60" w:after="60" w:line="240" w:lineRule="auto"/>
              <w:jc w:val="center"/>
              <w:rPr>
                <w:rFonts w:ascii="Arial" w:hAnsi="Arial" w:eastAsia="Times New Roman" w:cs="Arial"/>
                <w:color w:val="000000"/>
                <w:sz w:val="16"/>
                <w:szCs w:val="20"/>
                <w:lang w:val="id-ID" w:eastAsia="id-ID"/>
              </w:rPr>
            </w:pPr>
            <w:r>
              <w:rPr>
                <w:rFonts w:ascii="Arial" w:hAnsi="Arial" w:cs="Arial"/>
                <w:sz w:val="16"/>
                <w:szCs w:val="20"/>
              </w:rPr>
              <w:t>12-Aug-22</w:t>
            </w:r>
          </w:p>
        </w:tc>
        <w:tc>
          <w:tcPr>
            <w:tcW w:w="2738"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Staf Transaksi Kredit</w:t>
            </w:r>
          </w:p>
        </w:tc>
        <w:tc>
          <w:tcPr>
            <w:tcW w:w="1559"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11-Aug-22</w:t>
            </w:r>
          </w:p>
        </w:tc>
        <w:tc>
          <w:tcPr>
            <w:tcW w:w="1559" w:type="dxa"/>
            <w:shd w:val="clear" w:color="auto" w:fill="FDE9D9" w:themeFill="accent6" w:themeFillTint="33"/>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26-Sep-22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559"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Edward Maliq AS.</w:t>
            </w:r>
          </w:p>
        </w:tc>
        <w:tc>
          <w:tcPr>
            <w:tcW w:w="1418"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07-Feb-22</w:t>
            </w:r>
          </w:p>
        </w:tc>
        <w:tc>
          <w:tcPr>
            <w:tcW w:w="2738"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Staf Seksi Pemasaran</w:t>
            </w:r>
          </w:p>
        </w:tc>
        <w:tc>
          <w:tcPr>
            <w:tcW w:w="1559" w:type="dxa"/>
            <w:shd w:val="clear" w:color="auto" w:fill="FDE9D9" w:themeFill="accent6" w:themeFillTint="33"/>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31-Mar-22</w:t>
            </w:r>
          </w:p>
        </w:tc>
        <w:tc>
          <w:tcPr>
            <w:tcW w:w="1559"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559"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Firda Nur Annisa</w:t>
            </w:r>
          </w:p>
        </w:tc>
        <w:tc>
          <w:tcPr>
            <w:tcW w:w="1418"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24-Oct-22</w:t>
            </w:r>
          </w:p>
        </w:tc>
        <w:tc>
          <w:tcPr>
            <w:tcW w:w="2738"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Staf Seksi Pelayanan Nasabah (Teller)</w:t>
            </w:r>
          </w:p>
        </w:tc>
        <w:tc>
          <w:tcPr>
            <w:tcW w:w="1559" w:type="dxa"/>
            <w:shd w:val="clear" w:color="auto" w:fill="FDE9D9" w:themeFill="accent6" w:themeFillTint="33"/>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31-Oct-22</w:t>
            </w:r>
          </w:p>
        </w:tc>
        <w:tc>
          <w:tcPr>
            <w:tcW w:w="1559"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27-May-22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559"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Yuniar Fauzia</w:t>
            </w:r>
          </w:p>
        </w:tc>
        <w:tc>
          <w:tcPr>
            <w:tcW w:w="1418"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01-Mar-22</w:t>
            </w:r>
          </w:p>
        </w:tc>
        <w:tc>
          <w:tcPr>
            <w:tcW w:w="2738" w:type="dxa"/>
            <w:shd w:val="clear" w:color="auto" w:fill="auto"/>
            <w:noWrap/>
          </w:tcPr>
          <w:p>
            <w:pPr>
              <w:spacing w:before="60" w:after="60" w:line="240" w:lineRule="auto"/>
              <w:rPr>
                <w:rFonts w:ascii="Arial" w:hAnsi="Arial" w:eastAsia="Times New Roman" w:cs="Arial"/>
                <w:sz w:val="16"/>
                <w:szCs w:val="20"/>
                <w:lang w:val="id-ID" w:eastAsia="id-ID"/>
              </w:rPr>
            </w:pPr>
            <w:r>
              <w:rPr>
                <w:rFonts w:ascii="Arial" w:hAnsi="Arial" w:eastAsia="Times New Roman" w:cs="Arial"/>
                <w:sz w:val="16"/>
                <w:szCs w:val="20"/>
                <w:lang w:val="id-ID" w:eastAsia="id-ID"/>
              </w:rPr>
              <w:t>Staf Seksi Pemasaran (Funding)</w:t>
            </w:r>
          </w:p>
        </w:tc>
        <w:tc>
          <w:tcPr>
            <w:tcW w:w="1559" w:type="dxa"/>
            <w:shd w:val="clear" w:color="auto" w:fill="FDE9D9" w:themeFill="accent6" w:themeFillTint="33"/>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28-Apr-22</w:t>
            </w:r>
          </w:p>
        </w:tc>
        <w:tc>
          <w:tcPr>
            <w:tcW w:w="1559" w:type="dxa"/>
            <w:shd w:val="clear" w:color="auto" w:fill="auto"/>
            <w:noWrap/>
          </w:tcPr>
          <w:p>
            <w:pPr>
              <w:spacing w:before="60" w:after="60" w:line="240" w:lineRule="auto"/>
              <w:jc w:val="center"/>
              <w:rPr>
                <w:rFonts w:ascii="Arial" w:hAnsi="Arial" w:eastAsia="Times New Roman" w:cs="Arial"/>
                <w:sz w:val="16"/>
                <w:szCs w:val="20"/>
                <w:lang w:val="id-ID" w:eastAsia="id-ID"/>
              </w:rPr>
            </w:pPr>
            <w:r>
              <w:rPr>
                <w:rFonts w:ascii="Arial" w:hAnsi="Arial" w:cs="Arial"/>
                <w:sz w:val="16"/>
                <w:szCs w:val="20"/>
              </w:rPr>
              <w:t>14-Nov-21</w:t>
            </w:r>
          </w:p>
        </w:tc>
      </w:tr>
    </w:tbl>
    <w:p>
      <w:pPr>
        <w:spacing w:after="0" w:line="240" w:lineRule="auto"/>
        <w:jc w:val="both"/>
        <w:rPr>
          <w:rFonts w:ascii="Arial" w:hAnsi="Arial" w:cs="Arial"/>
          <w:b/>
        </w:rPr>
      </w:pPr>
      <w:r>
        <w:rPr>
          <w:rFonts w:ascii="Arial" w:hAnsi="Arial" w:cs="Arial"/>
          <w:b/>
        </w:rPr>
        <w:tab/>
      </w:r>
    </w:p>
    <w:p>
      <w:pPr>
        <w:pStyle w:val="18"/>
        <w:spacing w:line="240" w:lineRule="auto"/>
        <w:ind w:left="709"/>
        <w:jc w:val="both"/>
        <w:rPr>
          <w:rFonts w:ascii="Arial" w:hAnsi="Arial" w:cs="Arial"/>
          <w:b/>
        </w:rPr>
      </w:pPr>
      <w:r>
        <w:rPr>
          <w:rFonts w:ascii="Arial" w:hAnsi="Arial" w:cs="Arial"/>
          <w:b/>
        </w:rPr>
        <w:t>Risiko:</w:t>
      </w:r>
    </w:p>
    <w:p>
      <w:pPr>
        <w:pStyle w:val="18"/>
        <w:spacing w:line="240" w:lineRule="auto"/>
        <w:ind w:left="709"/>
        <w:jc w:val="both"/>
        <w:rPr>
          <w:rFonts w:ascii="Arial" w:hAnsi="Arial" w:cs="Arial"/>
        </w:rPr>
      </w:pPr>
      <w:r>
        <w:rPr>
          <w:rFonts w:ascii="Arial" w:hAnsi="Arial" w:cs="Arial"/>
        </w:rPr>
        <w:t>Apabila masih terdapat hak akses bagi karyawan yang sudah meninggalkan Bank, maka dapat menimbulkan risiko adanya penyalahgunaan dalam menggunakan sistem termasuk melakukan transaksi yang tidak sah dan dapat berdampak langsung pada laporan keuangan</w:t>
      </w:r>
    </w:p>
    <w:p>
      <w:pPr>
        <w:pStyle w:val="18"/>
        <w:spacing w:after="0" w:line="240" w:lineRule="auto"/>
        <w:ind w:left="709"/>
        <w:contextualSpacing w:val="0"/>
        <w:jc w:val="both"/>
        <w:rPr>
          <w:rFonts w:ascii="Arial" w:hAnsi="Arial" w:cs="Arial"/>
          <w:b/>
        </w:rPr>
      </w:pPr>
    </w:p>
    <w:p>
      <w:pPr>
        <w:pStyle w:val="18"/>
        <w:spacing w:after="0" w:line="240" w:lineRule="auto"/>
        <w:ind w:left="709"/>
        <w:contextualSpacing w:val="0"/>
        <w:jc w:val="both"/>
        <w:rPr>
          <w:rFonts w:ascii="Arial" w:hAnsi="Arial" w:cs="Arial"/>
          <w:b/>
        </w:rPr>
      </w:pPr>
      <w:r>
        <w:rPr>
          <w:rFonts w:ascii="Arial" w:hAnsi="Arial" w:cs="Arial"/>
          <w:b/>
        </w:rPr>
        <w:t>Rekomendasi:</w:t>
      </w:r>
    </w:p>
    <w:p>
      <w:pPr>
        <w:pStyle w:val="18"/>
        <w:numPr>
          <w:ilvl w:val="0"/>
          <w:numId w:val="3"/>
        </w:numPr>
        <w:spacing w:after="0" w:line="240" w:lineRule="auto"/>
        <w:contextualSpacing w:val="0"/>
        <w:jc w:val="both"/>
        <w:rPr>
          <w:rFonts w:ascii="Arial" w:hAnsi="Arial" w:cs="Arial"/>
          <w:bCs/>
        </w:rPr>
      </w:pPr>
      <w:r>
        <w:rPr>
          <w:rFonts w:ascii="Arial" w:hAnsi="Arial" w:cs="Arial"/>
          <w:bCs/>
        </w:rPr>
        <w:t>Bank melakukan penonaktifan hak akses untuk akun user pengguna/karyawan yang sudah meninggalkan Bank.</w:t>
      </w:r>
    </w:p>
    <w:p>
      <w:pPr>
        <w:pStyle w:val="18"/>
        <w:numPr>
          <w:ilvl w:val="0"/>
          <w:numId w:val="3"/>
        </w:numPr>
        <w:spacing w:after="0" w:line="240" w:lineRule="auto"/>
        <w:contextualSpacing w:val="0"/>
        <w:jc w:val="both"/>
        <w:rPr>
          <w:rFonts w:ascii="Arial" w:hAnsi="Arial" w:cs="Arial"/>
          <w:bCs/>
          <w:lang w:val="nl-NL"/>
        </w:rPr>
      </w:pPr>
      <w:r>
        <w:rPr>
          <w:rFonts w:ascii="Arial" w:hAnsi="Arial" w:cs="Arial"/>
          <w:bCs/>
          <w:lang w:val="nl-NL"/>
        </w:rPr>
        <w:t>Bank meningkatkan koordinasi dengan tim Human Capital untuk memperoleh informasi karyawan yang meninggalkan Bank secara berkala.</w:t>
      </w:r>
    </w:p>
    <w:p>
      <w:pPr>
        <w:pStyle w:val="18"/>
        <w:numPr>
          <w:ilvl w:val="0"/>
          <w:numId w:val="3"/>
        </w:numPr>
        <w:spacing w:after="0" w:line="240" w:lineRule="auto"/>
        <w:contextualSpacing w:val="0"/>
        <w:jc w:val="both"/>
        <w:rPr>
          <w:rFonts w:ascii="Arial" w:hAnsi="Arial" w:cs="Arial"/>
          <w:bCs/>
          <w:lang w:val="nl-NL"/>
        </w:rPr>
      </w:pPr>
      <w:r>
        <w:rPr>
          <w:rFonts w:ascii="Arial" w:hAnsi="Arial" w:cs="Arial"/>
          <w:bCs/>
          <w:lang w:val="nl-NL"/>
        </w:rPr>
        <w:t>Bank melakukan pengkajian secara berkala untuk memastikan bahwa tidak ada akun User yang masih aktif setelah pengguna/karyawan meninggalkan Bank.</w:t>
      </w:r>
    </w:p>
    <w:p>
      <w:pPr>
        <w:pStyle w:val="18"/>
        <w:spacing w:after="0" w:line="240" w:lineRule="auto"/>
        <w:ind w:left="709"/>
        <w:contextualSpacing w:val="0"/>
        <w:jc w:val="both"/>
        <w:rPr>
          <w:rFonts w:ascii="Arial" w:hAnsi="Arial" w:cs="Arial"/>
          <w:b/>
          <w:lang w:val="nl-NL"/>
        </w:rPr>
      </w:pPr>
    </w:p>
    <w:p>
      <w:pPr>
        <w:pStyle w:val="18"/>
        <w:spacing w:line="240" w:lineRule="auto"/>
        <w:ind w:left="709"/>
        <w:jc w:val="both"/>
        <w:rPr>
          <w:rFonts w:ascii="Arial" w:hAnsi="Arial" w:cs="Arial"/>
          <w:b/>
        </w:rPr>
      </w:pPr>
      <w:r>
        <w:rPr>
          <w:rFonts w:ascii="Arial" w:hAnsi="Arial" w:cs="Arial"/>
          <w:b/>
        </w:rPr>
        <w:t>Tanggapan Manajemen:</w:t>
      </w:r>
    </w:p>
    <w:p>
      <w:pPr>
        <w:pStyle w:val="18"/>
        <w:numPr>
          <w:ilvl w:val="0"/>
          <w:numId w:val="3"/>
        </w:numPr>
        <w:spacing w:after="0" w:line="240" w:lineRule="auto"/>
        <w:contextualSpacing w:val="0"/>
        <w:jc w:val="both"/>
        <w:rPr>
          <w:rFonts w:ascii="Arial" w:hAnsi="Arial" w:cs="Arial"/>
          <w:bCs/>
        </w:rPr>
      </w:pPr>
      <w:r>
        <w:rPr>
          <w:rFonts w:ascii="Arial" w:hAnsi="Arial" w:cs="Arial"/>
          <w:bCs/>
        </w:rPr>
        <w:t>Bank telah melakukan penonaktifan user pengguna/karyawan (terlampir).</w:t>
      </w:r>
    </w:p>
    <w:p>
      <w:pPr>
        <w:pStyle w:val="18"/>
        <w:numPr>
          <w:ilvl w:val="0"/>
          <w:numId w:val="3"/>
        </w:numPr>
        <w:spacing w:after="0" w:line="240" w:lineRule="auto"/>
        <w:contextualSpacing w:val="0"/>
        <w:jc w:val="both"/>
        <w:rPr>
          <w:rFonts w:ascii="Arial" w:hAnsi="Arial" w:cs="Arial"/>
          <w:bCs/>
        </w:rPr>
      </w:pPr>
      <w:r>
        <w:rPr>
          <w:rFonts w:ascii="Arial" w:hAnsi="Arial" w:cs="Arial"/>
          <w:bCs/>
        </w:rPr>
        <w:t xml:space="preserve">Bank telah menyampaikan NDE (nota dinas elektronik) ke Divisi Human Capital </w:t>
      </w:r>
      <w:r>
        <w:rPr>
          <w:rFonts w:ascii="Arial" w:hAnsi="Arial" w:cs="Arial"/>
          <w:bCs/>
          <w:lang w:val="nl-NL"/>
        </w:rPr>
        <w:t>untuk memperoleh informasi karyawan yang meninggalkan Bank secara berkala (terlampir).</w:t>
      </w:r>
    </w:p>
    <w:p>
      <w:pPr>
        <w:pStyle w:val="18"/>
        <w:numPr>
          <w:ilvl w:val="0"/>
          <w:numId w:val="3"/>
        </w:numPr>
        <w:spacing w:after="0" w:line="240" w:lineRule="auto"/>
        <w:contextualSpacing w:val="0"/>
        <w:jc w:val="both"/>
        <w:rPr>
          <w:rFonts w:ascii="Arial" w:hAnsi="Arial" w:cs="Arial"/>
          <w:bCs/>
        </w:rPr>
      </w:pPr>
      <w:r>
        <w:rPr>
          <w:rFonts w:ascii="Arial" w:hAnsi="Arial" w:cs="Arial"/>
          <w:bCs/>
          <w:lang w:val="nl-NL"/>
        </w:rPr>
        <w:t>Bank akan menonaktifkan user yang masih aktif setelah pengguna/karyawan meninggalkan Bank.</w:t>
      </w:r>
    </w:p>
    <w:p>
      <w:pPr>
        <w:pStyle w:val="18"/>
        <w:spacing w:after="0" w:line="240" w:lineRule="auto"/>
        <w:ind w:left="1069"/>
        <w:contextualSpacing w:val="0"/>
        <w:jc w:val="both"/>
        <w:rPr>
          <w:rFonts w:ascii="Arial" w:hAnsi="Arial" w:cs="Arial"/>
          <w:bCs/>
        </w:rPr>
      </w:pPr>
    </w:p>
    <w:p>
      <w:pPr>
        <w:pStyle w:val="18"/>
        <w:spacing w:after="0" w:line="240" w:lineRule="auto"/>
        <w:ind w:left="1069"/>
        <w:contextualSpacing w:val="0"/>
        <w:jc w:val="both"/>
        <w:rPr>
          <w:rFonts w:ascii="Arial" w:hAnsi="Arial" w:cs="Arial"/>
          <w:bCs/>
        </w:rPr>
      </w:pPr>
    </w:p>
    <w:p>
      <w:pPr>
        <w:pStyle w:val="18"/>
        <w:spacing w:after="0" w:line="240" w:lineRule="auto"/>
        <w:ind w:left="1069"/>
        <w:contextualSpacing w:val="0"/>
        <w:jc w:val="both"/>
        <w:rPr>
          <w:rFonts w:ascii="Arial" w:hAnsi="Arial" w:cs="Arial"/>
          <w:bCs/>
        </w:rPr>
      </w:pPr>
      <w:r>
        <w:rPr>
          <w:rFonts w:ascii="Arial" w:hAnsi="Arial" w:cs="Arial"/>
          <w:bCs/>
        </w:rPr>
        <w:object>
          <v:shape id="_x0000_i1026" o:spt="75" type="#_x0000_t75" style="height:40.65pt;width:132.45pt;" o:ole="t" filled="f" o:preferrelative="t" stroked="f" coordsize="21600,21600">
            <v:path/>
            <v:fill on="f" focussize="0,0"/>
            <v:stroke on="f" joinstyle="miter"/>
            <v:imagedata r:id="rId11" o:title=""/>
            <o:lock v:ext="edit" aspectratio="t"/>
            <w10:wrap type="none"/>
            <w10:anchorlock/>
          </v:shape>
          <o:OLEObject Type="Embed" ProgID="Package" ShapeID="_x0000_i1026" DrawAspect="Content" ObjectID="_1468075726" r:id="rId10">
            <o:LockedField>false</o:LockedField>
          </o:OLEObject>
        </w:object>
      </w:r>
      <w:r>
        <w:rPr>
          <w:rFonts w:ascii="Arial" w:hAnsi="Arial" w:cs="Arial"/>
          <w:bCs/>
        </w:rPr>
        <w:object>
          <v:shape id="_x0000_i1027" o:spt="75" type="#_x0000_t75" style="height:48pt;width:346.9pt;" o:ole="t" filled="f" o:preferrelative="t" stroked="f" coordsize="21600,21600">
            <v:path/>
            <v:fill on="f" focussize="0,0"/>
            <v:stroke on="f"/>
            <v:imagedata r:id="rId13" o:title=""/>
            <o:lock v:ext="edit" aspectratio="t"/>
            <w10:wrap type="none"/>
            <w10:anchorlock/>
          </v:shape>
          <o:OLEObject Type="Embed" ProgID="Package" ShapeID="_x0000_i1027" DrawAspect="Content" ObjectID="_1468075727" r:id="rId12">
            <o:LockedField>false</o:LockedField>
          </o:OLEObject>
        </w:object>
      </w:r>
    </w:p>
    <w:p>
      <w:pPr>
        <w:pStyle w:val="18"/>
        <w:spacing w:after="0" w:line="240" w:lineRule="auto"/>
        <w:ind w:left="709"/>
        <w:contextualSpacing w:val="0"/>
        <w:jc w:val="both"/>
        <w:rPr>
          <w:rFonts w:ascii="Arial" w:hAnsi="Arial" w:cs="Arial"/>
          <w:bCs/>
        </w:rPr>
      </w:pPr>
      <w:r>
        <w:rPr>
          <w:rFonts w:ascii="Arial" w:hAnsi="Arial" w:cs="Arial"/>
          <w:bCs/>
        </w:rPr>
        <w:t xml:space="preserve"> </w:t>
      </w:r>
    </w:p>
    <w:p>
      <w:pPr>
        <w:pStyle w:val="18"/>
        <w:spacing w:after="0" w:line="240" w:lineRule="auto"/>
        <w:ind w:left="709"/>
        <w:contextualSpacing w:val="0"/>
        <w:jc w:val="both"/>
        <w:rPr>
          <w:rFonts w:ascii="Arial" w:hAnsi="Arial" w:cs="Arial"/>
          <w:b/>
        </w:rPr>
      </w:pPr>
      <w:r>
        <w:rPr>
          <w:rFonts w:ascii="Arial" w:hAnsi="Arial" w:cs="Arial"/>
          <w:b/>
        </w:rPr>
        <w:br w:type="page"/>
      </w:r>
    </w:p>
    <w:p>
      <w:pPr>
        <w:pStyle w:val="18"/>
        <w:numPr>
          <w:ilvl w:val="0"/>
          <w:numId w:val="1"/>
        </w:numPr>
        <w:spacing w:line="240" w:lineRule="auto"/>
        <w:ind w:left="360"/>
        <w:jc w:val="both"/>
        <w:rPr>
          <w:rFonts w:ascii="Arial" w:hAnsi="Arial" w:cs="Arial"/>
          <w:b/>
        </w:rPr>
      </w:pPr>
      <w:r>
        <w:rPr>
          <w:rFonts w:ascii="Arial" w:hAnsi="Arial" w:cs="Arial"/>
          <w:b/>
        </w:rPr>
        <w:t>POIN-POIN PENGEMBANGAN</w:t>
      </w:r>
    </w:p>
    <w:p>
      <w:pPr>
        <w:pStyle w:val="18"/>
        <w:spacing w:line="240" w:lineRule="auto"/>
        <w:jc w:val="both"/>
        <w:rPr>
          <w:rFonts w:ascii="Arial" w:hAnsi="Arial" w:cs="Arial"/>
        </w:rPr>
      </w:pPr>
    </w:p>
    <w:p>
      <w:pPr>
        <w:pStyle w:val="18"/>
        <w:numPr>
          <w:ilvl w:val="1"/>
          <w:numId w:val="1"/>
        </w:numPr>
        <w:spacing w:line="240" w:lineRule="auto"/>
        <w:ind w:left="720"/>
        <w:jc w:val="both"/>
        <w:rPr>
          <w:rFonts w:ascii="Arial" w:hAnsi="Arial" w:cs="Arial"/>
        </w:rPr>
      </w:pPr>
      <w:r>
        <w:rPr>
          <w:rFonts w:ascii="Arial" w:hAnsi="Arial" w:cs="Arial"/>
          <w:b/>
          <w:bCs/>
        </w:rPr>
        <w:t xml:space="preserve">Pembaruan Buku Pedoman Manajemen Risiko Teknologi </w:t>
      </w:r>
    </w:p>
    <w:p>
      <w:pPr>
        <w:pStyle w:val="18"/>
        <w:spacing w:line="240" w:lineRule="auto"/>
        <w:jc w:val="both"/>
        <w:rPr>
          <w:rFonts w:ascii="Arial" w:hAnsi="Arial" w:cs="Arial"/>
          <w:b/>
        </w:rPr>
      </w:pPr>
    </w:p>
    <w:p>
      <w:pPr>
        <w:pStyle w:val="18"/>
        <w:spacing w:line="240" w:lineRule="auto"/>
        <w:jc w:val="both"/>
        <w:rPr>
          <w:rFonts w:ascii="Arial" w:hAnsi="Arial" w:cs="Arial"/>
          <w:b/>
        </w:rPr>
      </w:pPr>
      <w:r>
        <w:rPr>
          <w:rFonts w:ascii="Arial" w:hAnsi="Arial" w:cs="Arial"/>
          <w:b/>
        </w:rPr>
        <w:t>Kondisi:</w:t>
      </w:r>
    </w:p>
    <w:p>
      <w:pPr>
        <w:pStyle w:val="18"/>
        <w:spacing w:line="240" w:lineRule="auto"/>
        <w:ind w:left="709"/>
        <w:jc w:val="both"/>
        <w:rPr>
          <w:rFonts w:ascii="Arial" w:hAnsi="Arial" w:cs="Arial"/>
          <w:bCs/>
        </w:rPr>
      </w:pPr>
      <w:r>
        <w:rPr>
          <w:rFonts w:ascii="Arial" w:hAnsi="Arial" w:cs="Arial"/>
          <w:bCs/>
        </w:rPr>
        <w:t xml:space="preserve">Berdasarkan pemeriksaan yang dilakukan terhadap dokumen kebijakan dan prosedur manajemen risiko terknologi informasi (TI), bank sudah mendokumentasikan prosedur yang berkaitan dengan manajemen risiko TI. </w:t>
      </w:r>
    </w:p>
    <w:p>
      <w:pPr>
        <w:pStyle w:val="18"/>
        <w:spacing w:line="240" w:lineRule="auto"/>
        <w:ind w:left="709"/>
        <w:jc w:val="both"/>
        <w:rPr>
          <w:rFonts w:ascii="Arial" w:hAnsi="Arial" w:cs="Arial"/>
          <w:bCs/>
        </w:rPr>
      </w:pPr>
    </w:p>
    <w:p>
      <w:pPr>
        <w:pStyle w:val="18"/>
        <w:spacing w:line="240" w:lineRule="auto"/>
        <w:ind w:left="709"/>
        <w:jc w:val="both"/>
        <w:rPr>
          <w:rFonts w:ascii="Arial" w:hAnsi="Arial" w:cs="Arial"/>
          <w:bCs/>
        </w:rPr>
      </w:pPr>
      <w:r>
        <w:rPr>
          <w:rFonts w:ascii="Arial" w:hAnsi="Arial" w:cs="Arial"/>
          <w:bCs/>
        </w:rPr>
        <w:t>Namun, dari beberapa dokumen kebijakan dan prosedur manajemen risiko TI tersebut, ditemukan bahwa terdapat beberapa Buku Pedoman yang terakhir diperbarui pada tahun 2019. Buku Pedoman tersebut diantaranya adalah.</w:t>
      </w:r>
    </w:p>
    <w:p>
      <w:pPr>
        <w:pStyle w:val="18"/>
        <w:numPr>
          <w:ilvl w:val="0"/>
          <w:numId w:val="5"/>
        </w:numPr>
        <w:spacing w:before="240" w:line="240" w:lineRule="auto"/>
        <w:ind w:left="1134" w:hanging="425"/>
        <w:jc w:val="both"/>
        <w:rPr>
          <w:rFonts w:ascii="Arial" w:hAnsi="Arial" w:cs="Arial"/>
          <w:bCs/>
        </w:rPr>
      </w:pPr>
      <w:r>
        <w:rPr>
          <w:rFonts w:ascii="Arial" w:hAnsi="Arial" w:cs="Arial"/>
          <w:bCs/>
        </w:rPr>
        <w:t>Buku Pedoman Teknologi Sistem Informasi Buku 2A Kebijakan Umum Pengamanan Teknologi Informasi No. 35/KEP.DIR/TSI/2019, tanggal 14 Juni 2019.</w:t>
      </w:r>
    </w:p>
    <w:p>
      <w:pPr>
        <w:pStyle w:val="18"/>
        <w:numPr>
          <w:ilvl w:val="0"/>
          <w:numId w:val="5"/>
        </w:numPr>
        <w:spacing w:line="240" w:lineRule="auto"/>
        <w:ind w:left="1134" w:hanging="425"/>
        <w:jc w:val="both"/>
        <w:rPr>
          <w:rFonts w:ascii="Arial" w:hAnsi="Arial" w:cs="Arial"/>
          <w:bCs/>
        </w:rPr>
      </w:pPr>
      <w:r>
        <w:rPr>
          <w:rFonts w:ascii="Arial" w:hAnsi="Arial" w:cs="Arial"/>
          <w:bCs/>
        </w:rPr>
        <w:t>Buku Pedoman Teknologi Sistem Informasi Buku 2B Pedoman Pengembangan Dan Pengadaan Teknologi Informasi (BAB I, BAB II, BAB III, BAB IV, BAB VI, BAB VII) No. 36/KEP.DIR/TSI/2019, tanggal 14 Juni 2019.</w:t>
      </w:r>
    </w:p>
    <w:p>
      <w:pPr>
        <w:pStyle w:val="18"/>
        <w:numPr>
          <w:ilvl w:val="0"/>
          <w:numId w:val="5"/>
        </w:numPr>
        <w:spacing w:line="240" w:lineRule="auto"/>
        <w:ind w:left="1134" w:hanging="425"/>
        <w:jc w:val="both"/>
        <w:rPr>
          <w:rFonts w:ascii="Arial" w:hAnsi="Arial" w:cs="Arial"/>
          <w:bCs/>
        </w:rPr>
      </w:pPr>
      <w:r>
        <w:rPr>
          <w:rFonts w:ascii="Arial" w:hAnsi="Arial" w:cs="Arial"/>
          <w:bCs/>
        </w:rPr>
        <w:t>Buku Pedoman Manajemen Risiko Teknologi Informasi 2C Pedoman Operasional Teknologi Informasi, 37/KEP.DIR/TSI/2019, 14 Juni 2019.</w:t>
      </w:r>
    </w:p>
    <w:p>
      <w:pPr>
        <w:pStyle w:val="18"/>
        <w:spacing w:line="240" w:lineRule="auto"/>
        <w:ind w:left="1134"/>
        <w:jc w:val="both"/>
        <w:rPr>
          <w:rFonts w:ascii="Arial" w:hAnsi="Arial" w:cs="Arial"/>
          <w:bCs/>
        </w:rPr>
      </w:pPr>
    </w:p>
    <w:p>
      <w:pPr>
        <w:pStyle w:val="18"/>
        <w:spacing w:line="240" w:lineRule="auto"/>
        <w:ind w:left="709"/>
        <w:jc w:val="both"/>
        <w:rPr>
          <w:rFonts w:ascii="Arial" w:hAnsi="Arial" w:cs="Arial"/>
          <w:b/>
        </w:rPr>
      </w:pPr>
      <w:r>
        <w:rPr>
          <w:rFonts w:ascii="Arial" w:hAnsi="Arial" w:cs="Arial"/>
          <w:b/>
        </w:rPr>
        <w:t>Risiko:</w:t>
      </w:r>
    </w:p>
    <w:p>
      <w:pPr>
        <w:pStyle w:val="18"/>
        <w:spacing w:after="0" w:line="240" w:lineRule="auto"/>
        <w:ind w:left="709"/>
        <w:contextualSpacing w:val="0"/>
        <w:jc w:val="both"/>
        <w:rPr>
          <w:rFonts w:ascii="Arial" w:hAnsi="Arial" w:cs="Arial"/>
          <w:bCs/>
        </w:rPr>
      </w:pPr>
      <w:r>
        <w:rPr>
          <w:rFonts w:ascii="Arial" w:hAnsi="Arial" w:cs="Arial"/>
          <w:bCs/>
        </w:rPr>
        <w:t>Terlambatnya pengkajian dan pengkinian terhadap kebijakan dapat menyebabkan adanya ketidaktepatan antara penerapan pengelolaan teknologi informasi dengan tren keamanan teknologi dan ancaman siber lainnya.</w:t>
      </w:r>
    </w:p>
    <w:p>
      <w:pPr>
        <w:pStyle w:val="18"/>
        <w:spacing w:after="0" w:line="240" w:lineRule="auto"/>
        <w:ind w:left="709"/>
        <w:contextualSpacing w:val="0"/>
        <w:jc w:val="both"/>
        <w:rPr>
          <w:rFonts w:ascii="Arial" w:hAnsi="Arial" w:cs="Arial"/>
          <w:bCs/>
        </w:rPr>
      </w:pPr>
    </w:p>
    <w:p>
      <w:pPr>
        <w:pStyle w:val="18"/>
        <w:spacing w:line="240" w:lineRule="auto"/>
        <w:ind w:left="709"/>
        <w:jc w:val="both"/>
        <w:rPr>
          <w:rFonts w:ascii="Arial" w:hAnsi="Arial" w:cs="Arial"/>
          <w:b/>
          <w:lang w:val="nl-NL"/>
        </w:rPr>
      </w:pPr>
      <w:r>
        <w:rPr>
          <w:rFonts w:ascii="Arial" w:hAnsi="Arial" w:cs="Arial"/>
          <w:b/>
          <w:lang w:val="nl-NL"/>
        </w:rPr>
        <w:t xml:space="preserve">Rekomendasi: </w:t>
      </w:r>
    </w:p>
    <w:p>
      <w:pPr>
        <w:pStyle w:val="18"/>
        <w:tabs>
          <w:tab w:val="left" w:pos="5387"/>
        </w:tabs>
        <w:spacing w:line="240" w:lineRule="auto"/>
        <w:ind w:left="709"/>
        <w:jc w:val="both"/>
        <w:rPr>
          <w:rFonts w:ascii="Arial" w:hAnsi="Arial" w:cs="Arial"/>
          <w:lang w:val="nl-NL"/>
        </w:rPr>
      </w:pPr>
      <w:r>
        <w:rPr>
          <w:rFonts w:ascii="Arial" w:hAnsi="Arial" w:cs="Arial"/>
          <w:lang w:val="nl-NL"/>
        </w:rPr>
        <w:t>Bank melakukan review dan evaluasi dan pengkinian terhadap Buku Pedoman Manajemen Risiko TI</w:t>
      </w:r>
    </w:p>
    <w:p>
      <w:pPr>
        <w:pStyle w:val="18"/>
        <w:tabs>
          <w:tab w:val="left" w:pos="5387"/>
        </w:tabs>
        <w:spacing w:line="240" w:lineRule="auto"/>
        <w:ind w:left="709"/>
        <w:jc w:val="both"/>
        <w:rPr>
          <w:rFonts w:ascii="Arial" w:hAnsi="Arial" w:cs="Arial"/>
          <w:lang w:val="nl-NL"/>
        </w:rPr>
      </w:pPr>
    </w:p>
    <w:p>
      <w:pPr>
        <w:pStyle w:val="18"/>
        <w:tabs>
          <w:tab w:val="left" w:pos="5387"/>
        </w:tabs>
        <w:spacing w:line="240" w:lineRule="auto"/>
        <w:ind w:left="709"/>
        <w:jc w:val="both"/>
        <w:rPr>
          <w:rFonts w:ascii="Arial" w:hAnsi="Arial" w:cs="Arial"/>
          <w:lang w:val="nl-NL"/>
        </w:rPr>
      </w:pPr>
      <w:r>
        <w:rPr>
          <w:rFonts w:ascii="Arial" w:hAnsi="Arial" w:cs="Arial"/>
          <w:b/>
        </w:rPr>
        <w:t>Tanggapan Manajemen:</w:t>
      </w:r>
      <w:bookmarkStart w:id="0" w:name="_GoBack"/>
      <w:bookmarkEnd w:id="0"/>
    </w:p>
    <w:p>
      <w:pPr>
        <w:pStyle w:val="18"/>
        <w:tabs>
          <w:tab w:val="left" w:pos="5387"/>
        </w:tabs>
        <w:spacing w:line="240" w:lineRule="auto"/>
        <w:ind w:left="709"/>
        <w:jc w:val="both"/>
        <w:rPr>
          <w:rFonts w:ascii="Arial" w:hAnsi="Arial" w:cs="Arial"/>
          <w:b/>
          <w:lang w:val="nl-NL"/>
        </w:rPr>
      </w:pPr>
      <w:r>
        <w:rPr>
          <w:rFonts w:hint="default" w:ascii="Arial" w:hAnsi="Arial" w:cs="Arial"/>
          <w:lang w:val="zh-CN"/>
        </w:rPr>
        <w:t>Target Triwulan II tahun 2023.</w:t>
      </w:r>
    </w:p>
    <w:p>
      <w:pPr>
        <w:spacing w:after="0" w:line="240" w:lineRule="auto"/>
        <w:jc w:val="both"/>
        <w:rPr>
          <w:rFonts w:ascii="Arial" w:hAnsi="Arial" w:cs="Arial"/>
          <w:b/>
          <w:lang w:val="nl-NL"/>
        </w:rPr>
      </w:pPr>
    </w:p>
    <w:p>
      <w:pPr>
        <w:spacing w:after="0" w:line="240" w:lineRule="auto"/>
        <w:rPr>
          <w:rFonts w:ascii="Arial" w:hAnsi="Arial" w:cs="Arial"/>
          <w:b/>
          <w:lang w:val="nl-NL"/>
        </w:rPr>
      </w:pPr>
      <w:r>
        <w:rPr>
          <w:rFonts w:ascii="Arial" w:hAnsi="Arial" w:cs="Arial"/>
          <w:b/>
          <w:lang w:val="nl-NL"/>
        </w:rPr>
        <w:br w:type="page"/>
      </w:r>
    </w:p>
    <w:p>
      <w:pPr>
        <w:pStyle w:val="18"/>
        <w:numPr>
          <w:ilvl w:val="1"/>
          <w:numId w:val="1"/>
        </w:numPr>
        <w:spacing w:line="240" w:lineRule="auto"/>
        <w:ind w:left="709" w:hanging="283"/>
        <w:jc w:val="both"/>
        <w:rPr>
          <w:rFonts w:ascii="Arial" w:hAnsi="Arial" w:cs="Arial"/>
          <w:b/>
        </w:rPr>
      </w:pPr>
      <w:r>
        <w:rPr>
          <w:rFonts w:ascii="Arial" w:hAnsi="Arial" w:cs="Arial"/>
          <w:b/>
        </w:rPr>
        <w:t xml:space="preserve">Penyesuaian Terhadap Parameter Konfigurasi Keamanan OS Aplikasi dan </w:t>
      </w:r>
      <w:r>
        <w:rPr>
          <w:rFonts w:ascii="Arial" w:hAnsi="Arial" w:cs="Arial"/>
          <w:b/>
          <w:i/>
        </w:rPr>
        <w:t>Database</w:t>
      </w:r>
    </w:p>
    <w:p>
      <w:pPr>
        <w:pStyle w:val="18"/>
        <w:spacing w:line="240" w:lineRule="auto"/>
        <w:ind w:left="709"/>
        <w:jc w:val="both"/>
        <w:rPr>
          <w:rFonts w:ascii="Arial" w:hAnsi="Arial" w:cs="Arial"/>
          <w:b/>
        </w:rPr>
      </w:pPr>
    </w:p>
    <w:p>
      <w:pPr>
        <w:pStyle w:val="18"/>
        <w:spacing w:line="240" w:lineRule="auto"/>
        <w:ind w:left="709"/>
        <w:jc w:val="both"/>
        <w:rPr>
          <w:rFonts w:ascii="Arial" w:hAnsi="Arial" w:cs="Arial"/>
          <w:b/>
        </w:rPr>
      </w:pPr>
      <w:r>
        <w:rPr>
          <w:rFonts w:ascii="Arial" w:hAnsi="Arial" w:cs="Arial"/>
          <w:b/>
        </w:rPr>
        <w:t>Kondisi:</w:t>
      </w:r>
    </w:p>
    <w:p>
      <w:pPr>
        <w:pStyle w:val="18"/>
        <w:spacing w:line="240" w:lineRule="auto"/>
        <w:ind w:left="709"/>
        <w:jc w:val="both"/>
        <w:rPr>
          <w:rFonts w:ascii="Arial" w:hAnsi="Arial" w:cs="Arial"/>
          <w:bCs/>
        </w:rPr>
      </w:pPr>
      <w:r>
        <w:rPr>
          <w:rFonts w:ascii="Arial" w:hAnsi="Arial" w:cs="Arial"/>
          <w:bCs/>
        </w:rPr>
        <w:t xml:space="preserve">Berdasarkan pemeriksaan yang dilakukan terhadap parameter konfigurasi keamanan, Bank mengimplementasikan konfigurasi keamanan yang mengacu pada rekomendasi standar konfigurasi keamanan dari pihak Vendor. </w:t>
      </w:r>
    </w:p>
    <w:p>
      <w:pPr>
        <w:pStyle w:val="18"/>
        <w:spacing w:line="240" w:lineRule="auto"/>
        <w:ind w:left="709"/>
        <w:jc w:val="both"/>
        <w:rPr>
          <w:rFonts w:ascii="Arial" w:hAnsi="Arial" w:cs="Arial"/>
          <w:bCs/>
        </w:rPr>
      </w:pPr>
    </w:p>
    <w:p>
      <w:pPr>
        <w:pStyle w:val="18"/>
        <w:spacing w:line="240" w:lineRule="auto"/>
        <w:ind w:left="709"/>
        <w:jc w:val="both"/>
        <w:rPr>
          <w:rFonts w:ascii="Arial" w:hAnsi="Arial" w:cs="Arial"/>
          <w:bCs/>
        </w:rPr>
      </w:pPr>
      <w:r>
        <w:rPr>
          <w:rFonts w:ascii="Arial" w:hAnsi="Arial" w:cs="Arial"/>
          <w:bCs/>
          <w:lang w:val="nl-NL"/>
        </w:rPr>
        <w:t xml:space="preserve">Namun, terdapat perbedaan antara rekomendasi konfigurasi dengan implementasi konfigurasi pada OS </w:t>
      </w:r>
      <w:r>
        <w:rPr>
          <w:rFonts w:ascii="Arial" w:hAnsi="Arial" w:cs="Arial"/>
          <w:bCs/>
          <w:i/>
          <w:lang w:val="nl-NL"/>
        </w:rPr>
        <w:t>database</w:t>
      </w:r>
      <w:r>
        <w:rPr>
          <w:rFonts w:ascii="Arial" w:hAnsi="Arial" w:cs="Arial"/>
          <w:bCs/>
          <w:lang w:val="nl-NL"/>
        </w:rPr>
        <w:t xml:space="preserve"> dan aplikasi T24 Konven dan T24 Syariah. </w:t>
      </w:r>
      <w:r>
        <w:rPr>
          <w:rFonts w:ascii="Arial" w:hAnsi="Arial" w:cs="Arial"/>
          <w:bCs/>
        </w:rPr>
        <w:t>Perbedaan antara rekomendasi dengan implementasi konfigurasi adalah seperti berikut:</w:t>
      </w:r>
    </w:p>
    <w:tbl>
      <w:tblPr>
        <w:tblStyle w:val="17"/>
        <w:tblW w:w="8930"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275"/>
        <w:gridCol w:w="1560"/>
        <w:gridCol w:w="1559"/>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1418" w:type="dxa"/>
            <w:shd w:val="clear" w:color="auto" w:fill="DBE5F1" w:themeFill="accent1" w:themeFillTint="33"/>
            <w:vAlign w:val="center"/>
          </w:tcPr>
          <w:p>
            <w:pPr>
              <w:spacing w:before="60" w:after="60" w:line="240" w:lineRule="auto"/>
              <w:jc w:val="center"/>
              <w:rPr>
                <w:rFonts w:ascii="Arial" w:hAnsi="Arial" w:eastAsia="Times New Roman" w:cs="Arial"/>
                <w:b/>
                <w:bCs/>
                <w:iCs/>
                <w:color w:val="000000"/>
                <w:sz w:val="16"/>
                <w:szCs w:val="20"/>
                <w:lang w:eastAsia="id-ID"/>
              </w:rPr>
            </w:pPr>
            <w:r>
              <w:rPr>
                <w:rFonts w:ascii="Arial" w:hAnsi="Arial" w:eastAsia="Times New Roman" w:cs="Arial"/>
                <w:b/>
                <w:bCs/>
                <w:iCs/>
                <w:color w:val="000000"/>
                <w:sz w:val="16"/>
                <w:szCs w:val="20"/>
                <w:lang w:eastAsia="id-ID"/>
              </w:rPr>
              <w:t>Parameter</w:t>
            </w:r>
          </w:p>
        </w:tc>
        <w:tc>
          <w:tcPr>
            <w:tcW w:w="1275" w:type="dxa"/>
            <w:shd w:val="clear" w:color="auto" w:fill="DBE5F1" w:themeFill="accent1" w:themeFillTint="33"/>
            <w:vAlign w:val="center"/>
          </w:tcPr>
          <w:p>
            <w:pPr>
              <w:spacing w:before="60" w:after="60" w:line="240" w:lineRule="auto"/>
              <w:jc w:val="center"/>
              <w:rPr>
                <w:rFonts w:ascii="Arial" w:hAnsi="Arial" w:eastAsia="Times New Roman" w:cs="Arial"/>
                <w:b/>
                <w:bCs/>
                <w:color w:val="000000"/>
                <w:sz w:val="16"/>
                <w:szCs w:val="20"/>
                <w:lang w:eastAsia="id-ID"/>
              </w:rPr>
            </w:pPr>
            <w:r>
              <w:rPr>
                <w:rFonts w:ascii="Arial" w:hAnsi="Arial" w:eastAsia="Times New Roman" w:cs="Arial"/>
                <w:b/>
                <w:bCs/>
                <w:color w:val="000000"/>
                <w:sz w:val="16"/>
                <w:szCs w:val="20"/>
                <w:lang w:eastAsia="id-ID"/>
              </w:rPr>
              <w:t>Rekomendasi</w:t>
            </w:r>
          </w:p>
        </w:tc>
        <w:tc>
          <w:tcPr>
            <w:tcW w:w="1560" w:type="dxa"/>
            <w:shd w:val="clear" w:color="auto" w:fill="DBE5F1" w:themeFill="accent1" w:themeFillTint="33"/>
            <w:vAlign w:val="center"/>
          </w:tcPr>
          <w:p>
            <w:pPr>
              <w:spacing w:before="60" w:after="60" w:line="240" w:lineRule="auto"/>
              <w:jc w:val="center"/>
              <w:rPr>
                <w:rFonts w:ascii="Arial" w:hAnsi="Arial" w:eastAsia="Times New Roman" w:cs="Arial"/>
                <w:b/>
                <w:bCs/>
                <w:color w:val="000000"/>
                <w:sz w:val="16"/>
                <w:szCs w:val="20"/>
                <w:lang w:eastAsia="id-ID"/>
              </w:rPr>
            </w:pPr>
            <w:r>
              <w:rPr>
                <w:rFonts w:ascii="Arial" w:hAnsi="Arial" w:eastAsia="Times New Roman" w:cs="Arial"/>
                <w:b/>
                <w:bCs/>
                <w:color w:val="000000"/>
                <w:sz w:val="16"/>
                <w:szCs w:val="20"/>
                <w:lang w:eastAsia="id-ID"/>
              </w:rPr>
              <w:t>OS T24 Konven</w:t>
            </w:r>
          </w:p>
        </w:tc>
        <w:tc>
          <w:tcPr>
            <w:tcW w:w="1559" w:type="dxa"/>
            <w:shd w:val="clear" w:color="auto" w:fill="DBE5F1" w:themeFill="accent1" w:themeFillTint="33"/>
            <w:vAlign w:val="center"/>
          </w:tcPr>
          <w:p>
            <w:pPr>
              <w:spacing w:before="60" w:after="60" w:line="240" w:lineRule="auto"/>
              <w:jc w:val="center"/>
              <w:rPr>
                <w:rFonts w:ascii="Arial" w:hAnsi="Arial" w:eastAsia="Times New Roman" w:cs="Arial"/>
                <w:b/>
                <w:bCs/>
                <w:color w:val="000000"/>
                <w:sz w:val="16"/>
                <w:szCs w:val="20"/>
                <w:lang w:val="id-ID" w:eastAsia="id-ID"/>
              </w:rPr>
            </w:pPr>
            <w:r>
              <w:rPr>
                <w:rFonts w:ascii="Arial" w:hAnsi="Arial" w:eastAsia="Times New Roman" w:cs="Arial"/>
                <w:b/>
                <w:bCs/>
                <w:color w:val="000000"/>
                <w:sz w:val="16"/>
                <w:szCs w:val="20"/>
                <w:lang w:eastAsia="id-ID"/>
              </w:rPr>
              <w:t>OS T24 Konven</w:t>
            </w:r>
          </w:p>
        </w:tc>
        <w:tc>
          <w:tcPr>
            <w:tcW w:w="1559" w:type="dxa"/>
            <w:shd w:val="clear" w:color="auto" w:fill="DBE5F1" w:themeFill="accent1" w:themeFillTint="33"/>
            <w:vAlign w:val="center"/>
          </w:tcPr>
          <w:p>
            <w:pPr>
              <w:spacing w:before="60" w:after="60" w:line="240" w:lineRule="auto"/>
              <w:jc w:val="center"/>
              <w:rPr>
                <w:rFonts w:ascii="Arial" w:hAnsi="Arial" w:eastAsia="Times New Roman" w:cs="Arial"/>
                <w:b/>
                <w:bCs/>
                <w:color w:val="000000"/>
                <w:sz w:val="16"/>
                <w:szCs w:val="20"/>
                <w:lang w:eastAsia="id-ID"/>
              </w:rPr>
            </w:pPr>
            <w:r>
              <w:rPr>
                <w:rFonts w:ascii="Arial" w:hAnsi="Arial" w:eastAsia="Times New Roman" w:cs="Arial"/>
                <w:b/>
                <w:bCs/>
                <w:color w:val="000000"/>
                <w:sz w:val="16"/>
                <w:szCs w:val="20"/>
                <w:lang w:eastAsia="id-ID"/>
              </w:rPr>
              <w:t>OS T24 Konven</w:t>
            </w:r>
          </w:p>
        </w:tc>
        <w:tc>
          <w:tcPr>
            <w:tcW w:w="1559" w:type="dxa"/>
            <w:shd w:val="clear" w:color="auto" w:fill="DBE5F1" w:themeFill="accent1" w:themeFillTint="33"/>
            <w:vAlign w:val="center"/>
          </w:tcPr>
          <w:p>
            <w:pPr>
              <w:spacing w:before="60" w:after="60" w:line="240" w:lineRule="auto"/>
              <w:jc w:val="center"/>
              <w:rPr>
                <w:rFonts w:ascii="Arial" w:hAnsi="Arial" w:eastAsia="Times New Roman" w:cs="Arial"/>
                <w:b/>
                <w:bCs/>
                <w:color w:val="000000"/>
                <w:sz w:val="16"/>
                <w:szCs w:val="20"/>
                <w:lang w:val="id-ID" w:eastAsia="id-ID"/>
              </w:rPr>
            </w:pPr>
            <w:r>
              <w:rPr>
                <w:rFonts w:ascii="Arial" w:hAnsi="Arial" w:eastAsia="Times New Roman" w:cs="Arial"/>
                <w:b/>
                <w:bCs/>
                <w:color w:val="000000"/>
                <w:sz w:val="16"/>
                <w:szCs w:val="20"/>
                <w:lang w:eastAsia="id-ID"/>
              </w:rPr>
              <w:t>OS T24 Konven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418" w:type="dxa"/>
            <w:vAlign w:val="center"/>
          </w:tcPr>
          <w:p>
            <w:pPr>
              <w:spacing w:before="60" w:after="60" w:line="240" w:lineRule="auto"/>
              <w:rPr>
                <w:rFonts w:ascii="Arial" w:hAnsi="Arial" w:eastAsia="Times New Roman" w:cs="Arial"/>
                <w:i/>
                <w:color w:val="000000"/>
                <w:sz w:val="16"/>
                <w:szCs w:val="20"/>
                <w:lang w:val="id-ID" w:eastAsia="id-ID"/>
              </w:rPr>
            </w:pPr>
            <w:r>
              <w:rPr>
                <w:rFonts w:ascii="Arial" w:hAnsi="Arial" w:eastAsia="Times New Roman" w:cs="Arial"/>
                <w:i/>
                <w:color w:val="000000"/>
                <w:sz w:val="16"/>
                <w:szCs w:val="20"/>
                <w:lang w:val="id-ID" w:eastAsia="id-ID"/>
              </w:rPr>
              <w:t>Pass Max Days</w:t>
            </w:r>
          </w:p>
        </w:tc>
        <w:tc>
          <w:tcPr>
            <w:tcW w:w="1275" w:type="dxa"/>
          </w:tcPr>
          <w:p>
            <w:pPr>
              <w:spacing w:before="60" w:after="60" w:line="240" w:lineRule="auto"/>
              <w:jc w:val="center"/>
              <w:rPr>
                <w:rFonts w:ascii="Arial" w:hAnsi="Arial" w:eastAsia="Times New Roman" w:cs="Arial"/>
                <w:color w:val="000000"/>
                <w:sz w:val="16"/>
                <w:szCs w:val="20"/>
                <w:lang w:eastAsia="id-ID"/>
              </w:rPr>
            </w:pPr>
            <w:r>
              <w:rPr>
                <w:rFonts w:ascii="Arial" w:hAnsi="Arial" w:eastAsia="Times New Roman" w:cs="Arial"/>
                <w:color w:val="000000"/>
                <w:sz w:val="16"/>
                <w:szCs w:val="20"/>
                <w:lang w:eastAsia="id-ID"/>
              </w:rPr>
              <w:t>30 – 60 hari</w:t>
            </w:r>
          </w:p>
        </w:tc>
        <w:tc>
          <w:tcPr>
            <w:tcW w:w="1560" w:type="dxa"/>
            <w:shd w:val="clear" w:color="auto" w:fill="FDE9D9" w:themeFill="accent6" w:themeFillTint="33"/>
            <w:vAlign w:val="center"/>
          </w:tcPr>
          <w:p>
            <w:pPr>
              <w:spacing w:before="60" w:after="60" w:line="240" w:lineRule="auto"/>
              <w:jc w:val="center"/>
              <w:rPr>
                <w:rFonts w:ascii="Arial" w:hAnsi="Arial" w:eastAsia="Times New Roman" w:cs="Arial"/>
                <w:color w:val="000000"/>
                <w:sz w:val="16"/>
                <w:szCs w:val="20"/>
                <w:lang w:eastAsia="id-ID"/>
              </w:rPr>
            </w:pPr>
            <w:r>
              <w:rPr>
                <w:rFonts w:ascii="Arial" w:hAnsi="Arial" w:eastAsia="Times New Roman" w:cs="Arial"/>
                <w:color w:val="000000"/>
                <w:sz w:val="16"/>
                <w:szCs w:val="20"/>
                <w:lang w:eastAsia="id-ID"/>
              </w:rPr>
              <w:t>90 hari</w:t>
            </w:r>
          </w:p>
        </w:tc>
        <w:tc>
          <w:tcPr>
            <w:tcW w:w="1559" w:type="dxa"/>
            <w:shd w:val="clear" w:color="auto" w:fill="FDE9D9" w:themeFill="accent6" w:themeFillTint="33"/>
            <w:vAlign w:val="center"/>
          </w:tcPr>
          <w:p>
            <w:pPr>
              <w:spacing w:before="60" w:after="60" w:line="240" w:lineRule="auto"/>
              <w:jc w:val="center"/>
              <w:rPr>
                <w:rFonts w:ascii="Arial" w:hAnsi="Arial" w:eastAsia="Times New Roman" w:cs="Arial"/>
                <w:color w:val="000000"/>
                <w:sz w:val="16"/>
                <w:szCs w:val="20"/>
                <w:lang w:val="id-ID" w:eastAsia="id-ID"/>
              </w:rPr>
            </w:pPr>
            <w:r>
              <w:rPr>
                <w:rFonts w:ascii="Arial" w:hAnsi="Arial" w:eastAsia="Times New Roman" w:cs="Arial"/>
                <w:color w:val="000000"/>
                <w:sz w:val="16"/>
                <w:szCs w:val="20"/>
                <w:lang w:eastAsia="id-ID"/>
              </w:rPr>
              <w:t>90 hari</w:t>
            </w:r>
          </w:p>
        </w:tc>
        <w:tc>
          <w:tcPr>
            <w:tcW w:w="1559" w:type="dxa"/>
            <w:shd w:val="clear" w:color="auto" w:fill="FDE9D9" w:themeFill="accent6" w:themeFillTint="33"/>
            <w:vAlign w:val="center"/>
          </w:tcPr>
          <w:p>
            <w:pPr>
              <w:spacing w:before="60" w:after="60" w:line="240" w:lineRule="auto"/>
              <w:jc w:val="center"/>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99999</w:t>
            </w:r>
            <w:r>
              <w:rPr>
                <w:rFonts w:ascii="Arial" w:hAnsi="Arial" w:eastAsia="Times New Roman" w:cs="Arial"/>
                <w:color w:val="000000"/>
                <w:sz w:val="16"/>
                <w:szCs w:val="20"/>
                <w:lang w:eastAsia="id-ID"/>
              </w:rPr>
              <w:t xml:space="preserve"> hari</w:t>
            </w:r>
          </w:p>
        </w:tc>
        <w:tc>
          <w:tcPr>
            <w:tcW w:w="1559" w:type="dxa"/>
            <w:shd w:val="clear" w:color="auto" w:fill="FDE9D9" w:themeFill="accent6" w:themeFillTint="33"/>
            <w:vAlign w:val="center"/>
          </w:tcPr>
          <w:p>
            <w:pPr>
              <w:spacing w:before="60" w:after="60" w:line="240" w:lineRule="auto"/>
              <w:jc w:val="center"/>
              <w:rPr>
                <w:rFonts w:ascii="Arial" w:hAnsi="Arial" w:eastAsia="Times New Roman" w:cs="Arial"/>
                <w:color w:val="000000"/>
                <w:sz w:val="16"/>
                <w:szCs w:val="20"/>
                <w:lang w:val="id-ID" w:eastAsia="id-ID"/>
              </w:rPr>
            </w:pPr>
            <w:r>
              <w:rPr>
                <w:rFonts w:ascii="Arial" w:hAnsi="Arial" w:eastAsia="Times New Roman" w:cs="Arial"/>
                <w:color w:val="000000"/>
                <w:sz w:val="16"/>
                <w:szCs w:val="20"/>
                <w:lang w:val="id-ID" w:eastAsia="id-ID"/>
              </w:rPr>
              <w:t>99999</w:t>
            </w:r>
            <w:r>
              <w:rPr>
                <w:rFonts w:ascii="Arial" w:hAnsi="Arial" w:eastAsia="Times New Roman" w:cs="Arial"/>
                <w:color w:val="000000"/>
                <w:sz w:val="16"/>
                <w:szCs w:val="20"/>
                <w:lang w:eastAsia="id-ID"/>
              </w:rPr>
              <w:t xml:space="preserve">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418" w:type="dxa"/>
            <w:vAlign w:val="center"/>
          </w:tcPr>
          <w:p>
            <w:pPr>
              <w:spacing w:before="60" w:after="60" w:line="240" w:lineRule="auto"/>
              <w:rPr>
                <w:rFonts w:ascii="Arial" w:hAnsi="Arial" w:eastAsia="Times New Roman" w:cs="Arial"/>
                <w:i/>
                <w:color w:val="000000"/>
                <w:sz w:val="16"/>
                <w:szCs w:val="20"/>
                <w:lang w:eastAsia="id-ID"/>
              </w:rPr>
            </w:pPr>
            <w:r>
              <w:rPr>
                <w:rFonts w:ascii="Arial" w:hAnsi="Arial" w:eastAsia="Times New Roman" w:cs="Arial"/>
                <w:i/>
                <w:color w:val="000000"/>
                <w:sz w:val="16"/>
                <w:szCs w:val="20"/>
                <w:lang w:eastAsia="id-ID"/>
              </w:rPr>
              <w:t>Min Pas Len</w:t>
            </w:r>
          </w:p>
        </w:tc>
        <w:tc>
          <w:tcPr>
            <w:tcW w:w="1275" w:type="dxa"/>
          </w:tcPr>
          <w:p>
            <w:pPr>
              <w:spacing w:before="60" w:after="60" w:line="240" w:lineRule="auto"/>
              <w:jc w:val="center"/>
              <w:rPr>
                <w:rFonts w:ascii="Arial" w:hAnsi="Arial" w:eastAsia="Times New Roman" w:cs="Arial"/>
                <w:color w:val="000000"/>
                <w:sz w:val="16"/>
                <w:szCs w:val="20"/>
                <w:lang w:eastAsia="id-ID"/>
              </w:rPr>
            </w:pPr>
            <w:r>
              <w:rPr>
                <w:rFonts w:ascii="Arial" w:hAnsi="Arial" w:eastAsia="Times New Roman" w:cs="Arial"/>
                <w:color w:val="000000"/>
                <w:sz w:val="16"/>
                <w:szCs w:val="20"/>
                <w:lang w:eastAsia="id-ID"/>
              </w:rPr>
              <w:t>6 karakter</w:t>
            </w:r>
          </w:p>
        </w:tc>
        <w:tc>
          <w:tcPr>
            <w:tcW w:w="1560" w:type="dxa"/>
            <w:noWrap/>
            <w:vAlign w:val="center"/>
          </w:tcPr>
          <w:p>
            <w:pPr>
              <w:spacing w:before="60" w:after="60" w:line="240" w:lineRule="auto"/>
              <w:jc w:val="center"/>
              <w:rPr>
                <w:rFonts w:ascii="Arial" w:hAnsi="Arial" w:eastAsia="Times New Roman" w:cs="Arial"/>
                <w:color w:val="000000"/>
                <w:sz w:val="16"/>
                <w:szCs w:val="20"/>
                <w:lang w:eastAsia="id-ID"/>
              </w:rPr>
            </w:pPr>
            <w:r>
              <w:rPr>
                <w:rFonts w:ascii="Arial" w:hAnsi="Arial" w:eastAsia="Times New Roman" w:cs="Arial"/>
                <w:color w:val="000000"/>
                <w:sz w:val="16"/>
                <w:szCs w:val="20"/>
                <w:lang w:eastAsia="id-ID"/>
              </w:rPr>
              <w:t>6 karakter</w:t>
            </w:r>
          </w:p>
        </w:tc>
        <w:tc>
          <w:tcPr>
            <w:tcW w:w="1559" w:type="dxa"/>
            <w:vAlign w:val="center"/>
          </w:tcPr>
          <w:p>
            <w:pPr>
              <w:spacing w:before="60" w:after="60" w:line="240" w:lineRule="auto"/>
              <w:jc w:val="center"/>
              <w:rPr>
                <w:rFonts w:ascii="Arial" w:hAnsi="Arial" w:eastAsia="Times New Roman" w:cs="Arial"/>
                <w:color w:val="000000"/>
                <w:sz w:val="16"/>
                <w:szCs w:val="20"/>
                <w:lang w:val="id-ID" w:eastAsia="id-ID"/>
              </w:rPr>
            </w:pPr>
            <w:r>
              <w:rPr>
                <w:rFonts w:ascii="Arial" w:hAnsi="Arial" w:eastAsia="Times New Roman" w:cs="Arial"/>
                <w:color w:val="000000"/>
                <w:sz w:val="16"/>
                <w:szCs w:val="20"/>
                <w:lang w:eastAsia="id-ID"/>
              </w:rPr>
              <w:t>6 karakter</w:t>
            </w:r>
          </w:p>
        </w:tc>
        <w:tc>
          <w:tcPr>
            <w:tcW w:w="1559" w:type="dxa"/>
            <w:shd w:val="clear" w:color="auto" w:fill="FDE9D9" w:themeFill="accent6" w:themeFillTint="33"/>
            <w:vAlign w:val="center"/>
          </w:tcPr>
          <w:p>
            <w:pPr>
              <w:spacing w:before="60" w:after="60" w:line="240" w:lineRule="auto"/>
              <w:jc w:val="center"/>
              <w:rPr>
                <w:rFonts w:ascii="Arial" w:hAnsi="Arial" w:eastAsia="Times New Roman" w:cs="Arial"/>
                <w:color w:val="000000"/>
                <w:sz w:val="16"/>
                <w:szCs w:val="20"/>
                <w:lang w:eastAsia="id-ID"/>
              </w:rPr>
            </w:pPr>
            <w:r>
              <w:rPr>
                <w:rFonts w:ascii="Arial" w:hAnsi="Arial" w:eastAsia="Times New Roman" w:cs="Arial"/>
                <w:color w:val="000000"/>
                <w:sz w:val="16"/>
                <w:szCs w:val="20"/>
                <w:lang w:eastAsia="id-ID"/>
              </w:rPr>
              <w:t>5 Karakter</w:t>
            </w:r>
          </w:p>
        </w:tc>
        <w:tc>
          <w:tcPr>
            <w:tcW w:w="1559" w:type="dxa"/>
            <w:shd w:val="clear" w:color="auto" w:fill="FDE9D9" w:themeFill="accent6" w:themeFillTint="33"/>
            <w:vAlign w:val="center"/>
          </w:tcPr>
          <w:p>
            <w:pPr>
              <w:spacing w:before="60" w:after="60" w:line="240" w:lineRule="auto"/>
              <w:jc w:val="center"/>
              <w:rPr>
                <w:rFonts w:ascii="Arial" w:hAnsi="Arial" w:eastAsia="Times New Roman" w:cs="Arial"/>
                <w:color w:val="000000"/>
                <w:sz w:val="16"/>
                <w:szCs w:val="20"/>
                <w:lang w:val="id-ID" w:eastAsia="id-ID"/>
              </w:rPr>
            </w:pPr>
            <w:r>
              <w:rPr>
                <w:rFonts w:ascii="Arial" w:hAnsi="Arial" w:eastAsia="Times New Roman" w:cs="Arial"/>
                <w:color w:val="000000"/>
                <w:sz w:val="16"/>
                <w:szCs w:val="20"/>
                <w:lang w:eastAsia="id-ID"/>
              </w:rPr>
              <w:t>5 Karakter</w:t>
            </w:r>
          </w:p>
        </w:tc>
      </w:tr>
    </w:tbl>
    <w:p>
      <w:pPr>
        <w:spacing w:after="0" w:line="240" w:lineRule="auto"/>
        <w:rPr>
          <w:rFonts w:ascii="Arial" w:hAnsi="Arial" w:cs="Arial"/>
          <w:b/>
        </w:rPr>
      </w:pPr>
    </w:p>
    <w:p>
      <w:pPr>
        <w:pStyle w:val="18"/>
        <w:spacing w:line="240" w:lineRule="auto"/>
        <w:ind w:left="709"/>
        <w:jc w:val="both"/>
        <w:rPr>
          <w:rFonts w:ascii="Arial" w:hAnsi="Arial" w:cs="Arial"/>
          <w:b/>
        </w:rPr>
      </w:pPr>
      <w:r>
        <w:rPr>
          <w:rFonts w:ascii="Arial" w:hAnsi="Arial" w:cs="Arial"/>
          <w:b/>
        </w:rPr>
        <w:t>Risiko:</w:t>
      </w:r>
    </w:p>
    <w:p>
      <w:pPr>
        <w:pStyle w:val="18"/>
        <w:spacing w:after="0" w:line="240" w:lineRule="auto"/>
        <w:ind w:left="709"/>
        <w:contextualSpacing w:val="0"/>
        <w:jc w:val="both"/>
        <w:rPr>
          <w:rFonts w:ascii="Arial" w:hAnsi="Arial" w:cs="Arial"/>
          <w:bCs/>
          <w:lang w:val="nl-NL"/>
        </w:rPr>
      </w:pPr>
      <w:r>
        <w:rPr>
          <w:rFonts w:ascii="Arial" w:hAnsi="Arial" w:cs="Arial"/>
          <w:bCs/>
          <w:lang w:val="nl-NL"/>
        </w:rPr>
        <w:t>Ketidaktepatan konfigurasi keamanan perangkat berisiko menimbulkan gangguan operasional dan risiko kelemahan keamanan informasi. Bank juga berisiko mengalami hambatan dalam menyeragamkan konfigurasi masing-masing perangkat jaringan di lingkungan perusahaan.</w:t>
      </w:r>
    </w:p>
    <w:p>
      <w:pPr>
        <w:pStyle w:val="18"/>
        <w:spacing w:after="0" w:line="240" w:lineRule="auto"/>
        <w:ind w:left="709"/>
        <w:contextualSpacing w:val="0"/>
        <w:jc w:val="both"/>
        <w:rPr>
          <w:rFonts w:ascii="Arial" w:hAnsi="Arial" w:cs="Arial"/>
          <w:bCs/>
          <w:lang w:val="nl-NL"/>
        </w:rPr>
      </w:pPr>
    </w:p>
    <w:p>
      <w:pPr>
        <w:pStyle w:val="18"/>
        <w:spacing w:after="0" w:line="240" w:lineRule="auto"/>
        <w:ind w:left="709"/>
        <w:contextualSpacing w:val="0"/>
        <w:jc w:val="both"/>
        <w:rPr>
          <w:rFonts w:ascii="Arial" w:hAnsi="Arial" w:cs="Arial"/>
          <w:b/>
        </w:rPr>
      </w:pPr>
      <w:r>
        <w:rPr>
          <w:rFonts w:ascii="Arial" w:hAnsi="Arial" w:cs="Arial"/>
          <w:b/>
        </w:rPr>
        <w:t>Rekomendasi:</w:t>
      </w:r>
    </w:p>
    <w:p>
      <w:pPr>
        <w:spacing w:after="0" w:line="240" w:lineRule="auto"/>
        <w:ind w:left="709"/>
        <w:jc w:val="both"/>
        <w:rPr>
          <w:rFonts w:ascii="Arial" w:hAnsi="Arial" w:cs="Arial"/>
          <w:b/>
        </w:rPr>
      </w:pPr>
      <w:r>
        <w:rPr>
          <w:rFonts w:ascii="Arial" w:hAnsi="Arial" w:cs="Arial"/>
          <w:bCs/>
        </w:rPr>
        <w:t>Bank melakukan penyesuaian implementasi konfigurasi dengan rekomendasi konfigurasi.</w:t>
      </w:r>
    </w:p>
    <w:p>
      <w:pPr>
        <w:pStyle w:val="18"/>
        <w:spacing w:after="0" w:line="240" w:lineRule="auto"/>
        <w:ind w:left="1069"/>
        <w:jc w:val="both"/>
        <w:rPr>
          <w:rFonts w:ascii="Arial" w:hAnsi="Arial" w:cs="Arial"/>
          <w:b/>
        </w:rPr>
      </w:pPr>
    </w:p>
    <w:p>
      <w:pPr>
        <w:pStyle w:val="18"/>
        <w:spacing w:line="240" w:lineRule="auto"/>
        <w:ind w:left="709"/>
        <w:jc w:val="both"/>
        <w:rPr>
          <w:rFonts w:ascii="Arial" w:hAnsi="Arial" w:cs="Arial"/>
          <w:b/>
        </w:rPr>
      </w:pPr>
      <w:r>
        <w:rPr>
          <w:rFonts w:ascii="Arial" w:hAnsi="Arial" w:cs="Arial"/>
          <w:b/>
        </w:rPr>
        <w:t>Tanggapan Manajemen:</w:t>
      </w:r>
    </w:p>
    <w:p>
      <w:pPr>
        <w:pStyle w:val="18"/>
        <w:numPr>
          <w:ilvl w:val="0"/>
          <w:numId w:val="3"/>
        </w:numPr>
        <w:spacing w:line="240" w:lineRule="auto"/>
        <w:jc w:val="both"/>
        <w:rPr>
          <w:rFonts w:hint="default" w:ascii="Arial" w:hAnsi="Arial" w:cs="Arial"/>
          <w:bCs/>
          <w:sz w:val="22"/>
          <w:szCs w:val="22"/>
        </w:rPr>
      </w:pPr>
      <w:r>
        <w:rPr>
          <w:rFonts w:hint="default" w:ascii="Arial" w:hAnsi="Arial" w:cs="Arial"/>
          <w:bCs/>
          <w:sz w:val="22"/>
          <w:szCs w:val="22"/>
        </w:rPr>
        <w:t xml:space="preserve">Bank sesuai rekomendasi auditor akan melakukan penyesuaian implementasi konfigurasi Keamanan OS Aplikasi dan </w:t>
      </w:r>
      <w:r>
        <w:rPr>
          <w:rFonts w:hint="default" w:ascii="Arial" w:hAnsi="Arial" w:cs="Arial"/>
          <w:bCs/>
          <w:i/>
          <w:sz w:val="22"/>
          <w:szCs w:val="22"/>
        </w:rPr>
        <w:t xml:space="preserve">Database </w:t>
      </w:r>
      <w:r>
        <w:rPr>
          <w:rFonts w:hint="default" w:ascii="Arial" w:hAnsi="Arial" w:cs="Arial"/>
          <w:bCs/>
          <w:iCs/>
          <w:sz w:val="22"/>
          <w:szCs w:val="22"/>
        </w:rPr>
        <w:t xml:space="preserve">dan meminta petunjuk vendor yang telah disampaikan melalui Bugzilla </w:t>
      </w:r>
      <w:r>
        <w:rPr>
          <w:rFonts w:hint="default" w:ascii="Arial" w:hAnsi="Arial" w:cs="Arial"/>
          <w:sz w:val="22"/>
          <w:szCs w:val="22"/>
        </w:rPr>
        <w:fldChar w:fldCharType="begin"/>
      </w:r>
      <w:r>
        <w:rPr>
          <w:rFonts w:hint="default" w:ascii="Arial" w:hAnsi="Arial" w:cs="Arial"/>
          <w:sz w:val="22"/>
          <w:szCs w:val="22"/>
        </w:rPr>
        <w:instrText xml:space="preserve"> HYPERLINK "https://bugz.fds.co.id/show_bug.cgi?id=21525" </w:instrText>
      </w:r>
      <w:r>
        <w:rPr>
          <w:rFonts w:hint="default" w:ascii="Arial" w:hAnsi="Arial" w:cs="Arial"/>
          <w:sz w:val="22"/>
          <w:szCs w:val="22"/>
        </w:rPr>
        <w:fldChar w:fldCharType="separate"/>
      </w:r>
      <w:r>
        <w:rPr>
          <w:rStyle w:val="14"/>
          <w:rFonts w:hint="default" w:ascii="Arial" w:hAnsi="Arial" w:cs="Arial"/>
          <w:bCs/>
          <w:color w:val="auto"/>
          <w:sz w:val="22"/>
          <w:szCs w:val="22"/>
          <w:u w:val="none"/>
        </w:rPr>
        <w:t>21525</w:t>
      </w:r>
      <w:r>
        <w:rPr>
          <w:rStyle w:val="14"/>
          <w:rFonts w:hint="default" w:ascii="Arial" w:hAnsi="Arial" w:cs="Arial"/>
          <w:bCs/>
          <w:color w:val="auto"/>
          <w:sz w:val="22"/>
          <w:szCs w:val="22"/>
          <w:u w:val="none"/>
        </w:rPr>
        <w:fldChar w:fldCharType="end"/>
      </w:r>
      <w:r>
        <w:rPr>
          <w:rFonts w:hint="default" w:ascii="Arial" w:hAnsi="Arial" w:cs="Arial"/>
          <w:bCs/>
          <w:sz w:val="22"/>
          <w:szCs w:val="22"/>
        </w:rPr>
        <w:t> - Penyesuaian Terhadap Password Parameter Konfigurasi Keamanan OS Aplikasi dan Database (terlampir).</w:t>
      </w:r>
    </w:p>
    <w:p>
      <w:pPr>
        <w:pStyle w:val="18"/>
        <w:spacing w:line="240" w:lineRule="auto"/>
        <w:ind w:left="1069"/>
        <w:jc w:val="both"/>
        <w:rPr>
          <w:rFonts w:asciiTheme="minorHAnsi" w:hAnsiTheme="minorHAnsi" w:cstheme="minorHAnsi"/>
          <w:bCs/>
          <w:sz w:val="24"/>
          <w:szCs w:val="24"/>
        </w:rPr>
      </w:pPr>
    </w:p>
    <w:p>
      <w:pPr>
        <w:pStyle w:val="18"/>
        <w:spacing w:line="240" w:lineRule="auto"/>
        <w:ind w:left="1069"/>
        <w:jc w:val="both"/>
        <w:rPr>
          <w:rFonts w:asciiTheme="minorHAnsi" w:hAnsiTheme="minorHAnsi" w:cstheme="minorHAnsi"/>
          <w:bCs/>
          <w:sz w:val="24"/>
          <w:szCs w:val="24"/>
        </w:rPr>
      </w:pPr>
      <w:r>
        <w:rPr>
          <w:rFonts w:asciiTheme="minorHAnsi" w:hAnsiTheme="minorHAnsi" w:cstheme="minorHAnsi"/>
          <w:bCs/>
          <w:sz w:val="24"/>
          <w:szCs w:val="24"/>
        </w:rPr>
        <w:object>
          <v:shape id="_x0000_i1028" o:spt="75" type="#_x0000_t75" style="height:49.45pt;width:75.85pt;" o:ole="t" filled="f" o:preferrelative="t" stroked="f" coordsize="21600,21600">
            <v:path/>
            <v:fill on="f" focussize="0,0"/>
            <v:stroke on="f" joinstyle="miter"/>
            <v:imagedata r:id="rId15" o:title=""/>
            <o:lock v:ext="edit" aspectratio="t"/>
            <w10:wrap type="none"/>
            <w10:anchorlock/>
          </v:shape>
          <o:OLEObject Type="Embed" ProgID="Package" ShapeID="_x0000_i1028" DrawAspect="Icon" ObjectID="_1468075728" r:id="rId14">
            <o:LockedField>false</o:LockedField>
          </o:OLEObject>
        </w:object>
      </w:r>
    </w:p>
    <w:sectPr>
      <w:headerReference r:id="rId5" w:type="default"/>
      <w:footerReference r:id="rId6" w:type="default"/>
      <w:pgSz w:w="11907" w:h="16840"/>
      <w:pgMar w:top="1247" w:right="1134" w:bottom="1418" w:left="1134" w:header="851" w:footer="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Arial" w:hAnsi="Arial" w:cs="Arial"/>
        <w:b/>
        <w:sz w:val="20"/>
        <w:szCs w:val="20"/>
      </w:rPr>
    </w:pPr>
    <w:r>
      <w:rPr>
        <w:rFonts w:ascii="Arial" w:hAnsi="Arial" w:cs="Arial"/>
        <w:b/>
        <w:sz w:val="20"/>
        <w:szCs w:val="20"/>
      </w:rPr>
      <w:fldChar w:fldCharType="begin"/>
    </w:r>
    <w:r>
      <w:rPr>
        <w:rFonts w:ascii="Arial" w:hAnsi="Arial" w:cs="Arial"/>
        <w:b/>
        <w:sz w:val="20"/>
        <w:szCs w:val="20"/>
      </w:rPr>
      <w:instrText xml:space="preserve"> PAGE   \* MERGEFORMAT </w:instrText>
    </w:r>
    <w:r>
      <w:rPr>
        <w:rFonts w:ascii="Arial" w:hAnsi="Arial" w:cs="Arial"/>
        <w:b/>
        <w:sz w:val="20"/>
        <w:szCs w:val="20"/>
      </w:rPr>
      <w:fldChar w:fldCharType="separate"/>
    </w:r>
    <w:r>
      <w:rPr>
        <w:rFonts w:ascii="Arial" w:hAnsi="Arial" w:cs="Arial"/>
        <w:b/>
        <w:sz w:val="20"/>
        <w:szCs w:val="20"/>
      </w:rPr>
      <w:t>10</w:t>
    </w:r>
    <w:r>
      <w:rPr>
        <w:rFonts w:ascii="Arial" w:hAnsi="Arial" w:cs="Arial"/>
        <w:b/>
        <w:sz w:val="20"/>
        <w:szCs w:val="20"/>
      </w:rPr>
      <w:fldChar w:fldCharType="end"/>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Arial" w:hAnsi="Arial" w:cs="Arial"/>
        <w:b/>
        <w:sz w:val="24"/>
        <w:szCs w:val="24"/>
      </w:rPr>
    </w:pPr>
    <w:r>
      <w:rPr>
        <w:rFonts w:ascii="Arial" w:hAnsi="Arial" w:cs="Arial"/>
        <w:b/>
        <w:sz w:val="24"/>
        <w:szCs w:val="24"/>
        <w:lang w:val="id-ID"/>
      </w:rPr>
      <w:t xml:space="preserve">PT BANK </w:t>
    </w:r>
    <w:r>
      <w:rPr>
        <w:rFonts w:ascii="Arial" w:hAnsi="Arial" w:cs="Arial"/>
        <w:b/>
        <w:sz w:val="24"/>
        <w:szCs w:val="24"/>
      </w:rPr>
      <w:t>PEMBANGUNAN DAERAH KALIMANTAN SELATAN</w:t>
    </w:r>
  </w:p>
  <w:p>
    <w:pPr>
      <w:pStyle w:val="13"/>
      <w:jc w:val="center"/>
      <w:rPr>
        <w:rFonts w:ascii="Arial" w:hAnsi="Arial" w:cs="Arial"/>
        <w:b/>
        <w:sz w:val="24"/>
        <w:szCs w:val="24"/>
        <w:lang w:val="id-ID"/>
      </w:rPr>
    </w:pPr>
    <w:r>
      <w:rPr>
        <w:rFonts w:ascii="Arial" w:hAnsi="Arial" w:cs="Arial"/>
        <w:b/>
        <w:sz w:val="24"/>
        <w:szCs w:val="24"/>
        <w:lang w:val="id-ID"/>
      </w:rPr>
      <w:t xml:space="preserve">TEMUAN DAN REKOMENDASI ATAS </w:t>
    </w:r>
    <w:r>
      <w:rPr>
        <w:rFonts w:ascii="Arial" w:hAnsi="Arial" w:cs="Arial"/>
        <w:b/>
        <w:sz w:val="24"/>
        <w:szCs w:val="24"/>
        <w:lang w:val="zh-CN"/>
      </w:rPr>
      <w:t xml:space="preserve">IT </w:t>
    </w:r>
    <w:r>
      <w:rPr>
        <w:rFonts w:ascii="Arial" w:hAnsi="Arial" w:cs="Arial"/>
        <w:b/>
        <w:sz w:val="24"/>
        <w:szCs w:val="24"/>
        <w:lang w:val="id-ID"/>
      </w:rPr>
      <w:t>AUDIT</w:t>
    </w:r>
    <w:r>
      <w:rPr>
        <w:rFonts w:ascii="Arial" w:hAnsi="Arial" w:cs="Arial"/>
        <w:b/>
        <w:sz w:val="24"/>
        <w:szCs w:val="24"/>
        <w:lang w:val="zh-CN"/>
      </w:rPr>
      <w:t xml:space="preserve"> SUPPORT</w:t>
    </w:r>
    <w:r>
      <w:rPr>
        <w:rFonts w:ascii="Arial" w:hAnsi="Arial" w:cs="Arial"/>
        <w:b/>
        <w:sz w:val="24"/>
        <w:szCs w:val="24"/>
        <w:lang w:val="id-ID"/>
      </w:rPr>
      <w:t xml:space="preserve"> </w:t>
    </w:r>
  </w:p>
  <w:p>
    <w:pPr>
      <w:pStyle w:val="13"/>
      <w:pBdr>
        <w:bottom w:val="single" w:color="auto" w:sz="12" w:space="1"/>
      </w:pBdr>
      <w:jc w:val="center"/>
      <w:rPr>
        <w:rFonts w:ascii="Arial" w:hAnsi="Arial" w:cs="Arial"/>
        <w:b/>
        <w:sz w:val="24"/>
        <w:szCs w:val="24"/>
      </w:rPr>
    </w:pPr>
    <w:r>
      <w:rPr>
        <w:rFonts w:ascii="Arial" w:hAnsi="Arial" w:cs="Arial"/>
        <w:b/>
        <w:sz w:val="24"/>
        <w:szCs w:val="24"/>
      </w:rPr>
      <w:t xml:space="preserve">INTERIM </w:t>
    </w:r>
    <w:r>
      <w:rPr>
        <w:rFonts w:ascii="Arial" w:hAnsi="Arial" w:cs="Arial"/>
        <w:b/>
        <w:sz w:val="24"/>
        <w:szCs w:val="24"/>
        <w:lang w:val="id-ID"/>
      </w:rPr>
      <w:t xml:space="preserve">PER </w:t>
    </w:r>
    <w:r>
      <w:rPr>
        <w:rFonts w:ascii="Arial" w:hAnsi="Arial" w:cs="Arial"/>
        <w:b/>
        <w:sz w:val="24"/>
        <w:szCs w:val="24"/>
      </w:rPr>
      <w:t>5 DESEMBER 2022</w:t>
    </w:r>
  </w:p>
  <w:p>
    <w:pPr>
      <w:pStyle w:val="13"/>
      <w:pBdr>
        <w:bottom w:val="single" w:color="auto" w:sz="12" w:space="1"/>
      </w:pBdr>
      <w:jc w:val="center"/>
      <w:rPr>
        <w:rFonts w:ascii="Arial" w:hAnsi="Arial" w:cs="Arial"/>
        <w:b/>
        <w:sz w:val="8"/>
        <w:szCs w:val="8"/>
      </w:rPr>
    </w:pPr>
  </w:p>
  <w:p>
    <w:pPr>
      <w:pStyle w:val="13"/>
      <w:rPr>
        <w:rFonts w:ascii="Arial" w:hAnsi="Arial" w:cs="Arial"/>
        <w:b/>
        <w:sz w:val="8"/>
        <w:szCs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3D62A1"/>
    <w:multiLevelType w:val="multilevel"/>
    <w:tmpl w:val="213D62A1"/>
    <w:lvl w:ilvl="0" w:tentative="0">
      <w:start w:val="2"/>
      <w:numFmt w:val="bullet"/>
      <w:lvlText w:val="-"/>
      <w:lvlJc w:val="left"/>
      <w:pPr>
        <w:ind w:left="1069" w:hanging="360"/>
      </w:pPr>
      <w:rPr>
        <w:rFonts w:hint="default" w:ascii="Arial" w:hAnsi="Arial" w:eastAsia="Calibri" w:cs="Arial"/>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1">
    <w:nsid w:val="23B2182C"/>
    <w:multiLevelType w:val="multilevel"/>
    <w:tmpl w:val="23B2182C"/>
    <w:lvl w:ilvl="0" w:tentative="0">
      <w:start w:val="1"/>
      <w:numFmt w:val="lowerLetter"/>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
    <w:nsid w:val="652F797A"/>
    <w:multiLevelType w:val="multilevel"/>
    <w:tmpl w:val="652F797A"/>
    <w:lvl w:ilvl="0" w:tentative="0">
      <w:start w:val="1"/>
      <w:numFmt w:val="decimal"/>
      <w:lvlText w:val="%1."/>
      <w:lvlJc w:val="left"/>
      <w:pPr>
        <w:ind w:left="1440" w:hanging="360"/>
      </w:pPr>
      <w:rPr>
        <w:rFonts w:hint="default" w:ascii="Arial" w:hAnsi="Arial" w:cs="Arial"/>
        <w:b w:val="0"/>
        <w:bCs/>
        <w:i w:val="0"/>
        <w:i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809308B"/>
    <w:multiLevelType w:val="multilevel"/>
    <w:tmpl w:val="7809308B"/>
    <w:lvl w:ilvl="0" w:tentative="0">
      <w:start w:val="1"/>
      <w:numFmt w:val="bullet"/>
      <w:lvlText w:val=""/>
      <w:lvlJc w:val="left"/>
      <w:pPr>
        <w:ind w:left="1069"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EB24FEA"/>
    <w:multiLevelType w:val="multilevel"/>
    <w:tmpl w:val="7EB24FEA"/>
    <w:lvl w:ilvl="0" w:tentative="0">
      <w:start w:val="1"/>
      <w:numFmt w:val="upperRoman"/>
      <w:lvlText w:val="%1."/>
      <w:lvlJc w:val="left"/>
      <w:pPr>
        <w:ind w:left="720" w:hanging="360"/>
      </w:pPr>
      <w:rPr>
        <w:rFonts w:hint="default" w:ascii="Arial" w:hAnsi="Arial" w:cs="Arial"/>
        <w:snapToGrid/>
        <w:spacing w:val="5"/>
        <w:sz w:val="22"/>
        <w:szCs w:val="22"/>
      </w:rPr>
    </w:lvl>
    <w:lvl w:ilvl="1" w:tentative="0">
      <w:start w:val="1"/>
      <w:numFmt w:val="decimal"/>
      <w:lvlText w:val="%2."/>
      <w:lvlJc w:val="left"/>
      <w:pPr>
        <w:ind w:left="1440" w:hanging="360"/>
      </w:pPr>
      <w:rPr>
        <w:rFonts w:hint="default" w:ascii="Arial" w:hAnsi="Arial" w:cs="Arial"/>
        <w:b w:val="0"/>
        <w:bCs/>
        <w:i w:val="0"/>
        <w:iCs w:val="0"/>
      </w:rPr>
    </w:lvl>
    <w:lvl w:ilvl="2" w:tentative="0">
      <w:start w:val="1"/>
      <w:numFmt w:val="lowerLetter"/>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11F"/>
    <w:rsid w:val="0000325F"/>
    <w:rsid w:val="000037B6"/>
    <w:rsid w:val="00004659"/>
    <w:rsid w:val="0000608B"/>
    <w:rsid w:val="0000738D"/>
    <w:rsid w:val="0000743C"/>
    <w:rsid w:val="000113EA"/>
    <w:rsid w:val="00011F7F"/>
    <w:rsid w:val="0001288F"/>
    <w:rsid w:val="0001661C"/>
    <w:rsid w:val="00017CD9"/>
    <w:rsid w:val="000201D4"/>
    <w:rsid w:val="00024C09"/>
    <w:rsid w:val="00026B9D"/>
    <w:rsid w:val="00030B45"/>
    <w:rsid w:val="00033D3C"/>
    <w:rsid w:val="000342AA"/>
    <w:rsid w:val="00035B7B"/>
    <w:rsid w:val="00035CE9"/>
    <w:rsid w:val="00036031"/>
    <w:rsid w:val="00036416"/>
    <w:rsid w:val="0004457F"/>
    <w:rsid w:val="00047156"/>
    <w:rsid w:val="0005164B"/>
    <w:rsid w:val="00052CB3"/>
    <w:rsid w:val="00052CC1"/>
    <w:rsid w:val="0005434E"/>
    <w:rsid w:val="00055575"/>
    <w:rsid w:val="000556FF"/>
    <w:rsid w:val="000573B3"/>
    <w:rsid w:val="000574EF"/>
    <w:rsid w:val="00057A59"/>
    <w:rsid w:val="00057BF7"/>
    <w:rsid w:val="0006013F"/>
    <w:rsid w:val="000635E9"/>
    <w:rsid w:val="00063810"/>
    <w:rsid w:val="000639DB"/>
    <w:rsid w:val="0006485A"/>
    <w:rsid w:val="00066322"/>
    <w:rsid w:val="00070762"/>
    <w:rsid w:val="000712D9"/>
    <w:rsid w:val="00075141"/>
    <w:rsid w:val="000759C9"/>
    <w:rsid w:val="00075B48"/>
    <w:rsid w:val="00076860"/>
    <w:rsid w:val="00077E9E"/>
    <w:rsid w:val="00081398"/>
    <w:rsid w:val="000813A4"/>
    <w:rsid w:val="00083C55"/>
    <w:rsid w:val="00083ECF"/>
    <w:rsid w:val="00084FE3"/>
    <w:rsid w:val="00085E6D"/>
    <w:rsid w:val="00090BEF"/>
    <w:rsid w:val="000917A5"/>
    <w:rsid w:val="000918C8"/>
    <w:rsid w:val="00092B4B"/>
    <w:rsid w:val="00092B76"/>
    <w:rsid w:val="00092C89"/>
    <w:rsid w:val="00093532"/>
    <w:rsid w:val="00094089"/>
    <w:rsid w:val="00094B33"/>
    <w:rsid w:val="000966B2"/>
    <w:rsid w:val="00097713"/>
    <w:rsid w:val="000B01CF"/>
    <w:rsid w:val="000B0CB6"/>
    <w:rsid w:val="000B277A"/>
    <w:rsid w:val="000B2AF3"/>
    <w:rsid w:val="000B3AB3"/>
    <w:rsid w:val="000B5638"/>
    <w:rsid w:val="000B587E"/>
    <w:rsid w:val="000C1544"/>
    <w:rsid w:val="000C157F"/>
    <w:rsid w:val="000C5F5A"/>
    <w:rsid w:val="000D0AA3"/>
    <w:rsid w:val="000D1B96"/>
    <w:rsid w:val="000D2DA7"/>
    <w:rsid w:val="000D3415"/>
    <w:rsid w:val="000D35EB"/>
    <w:rsid w:val="000D40D7"/>
    <w:rsid w:val="000D5D9C"/>
    <w:rsid w:val="000D72B9"/>
    <w:rsid w:val="000E2F01"/>
    <w:rsid w:val="000E56F7"/>
    <w:rsid w:val="000F2E60"/>
    <w:rsid w:val="000F3267"/>
    <w:rsid w:val="000F4539"/>
    <w:rsid w:val="000F581D"/>
    <w:rsid w:val="000F5BE3"/>
    <w:rsid w:val="000F71DE"/>
    <w:rsid w:val="001020C6"/>
    <w:rsid w:val="001023DA"/>
    <w:rsid w:val="0010313E"/>
    <w:rsid w:val="00103AC9"/>
    <w:rsid w:val="00104764"/>
    <w:rsid w:val="001057A1"/>
    <w:rsid w:val="001061D0"/>
    <w:rsid w:val="00107C8D"/>
    <w:rsid w:val="0011059E"/>
    <w:rsid w:val="0011076E"/>
    <w:rsid w:val="00110AAE"/>
    <w:rsid w:val="00111400"/>
    <w:rsid w:val="00112510"/>
    <w:rsid w:val="00112FB1"/>
    <w:rsid w:val="0011339C"/>
    <w:rsid w:val="00113CFE"/>
    <w:rsid w:val="00114DEE"/>
    <w:rsid w:val="00115082"/>
    <w:rsid w:val="00115675"/>
    <w:rsid w:val="00116749"/>
    <w:rsid w:val="00121C6B"/>
    <w:rsid w:val="00125789"/>
    <w:rsid w:val="00125E0B"/>
    <w:rsid w:val="0013143C"/>
    <w:rsid w:val="00132D67"/>
    <w:rsid w:val="001331EE"/>
    <w:rsid w:val="00134F4C"/>
    <w:rsid w:val="001405DB"/>
    <w:rsid w:val="00141082"/>
    <w:rsid w:val="001450AF"/>
    <w:rsid w:val="00150C16"/>
    <w:rsid w:val="00154F55"/>
    <w:rsid w:val="001563DB"/>
    <w:rsid w:val="001570AB"/>
    <w:rsid w:val="00157394"/>
    <w:rsid w:val="001601DC"/>
    <w:rsid w:val="00160B66"/>
    <w:rsid w:val="00166ECB"/>
    <w:rsid w:val="00167529"/>
    <w:rsid w:val="00170B86"/>
    <w:rsid w:val="001720B6"/>
    <w:rsid w:val="00173AF0"/>
    <w:rsid w:val="00176421"/>
    <w:rsid w:val="00176767"/>
    <w:rsid w:val="001804C1"/>
    <w:rsid w:val="00180644"/>
    <w:rsid w:val="00182E37"/>
    <w:rsid w:val="00182EB0"/>
    <w:rsid w:val="00184447"/>
    <w:rsid w:val="00191C54"/>
    <w:rsid w:val="001935C0"/>
    <w:rsid w:val="00195942"/>
    <w:rsid w:val="0019749A"/>
    <w:rsid w:val="00197ED7"/>
    <w:rsid w:val="001A1379"/>
    <w:rsid w:val="001A22E7"/>
    <w:rsid w:val="001A253A"/>
    <w:rsid w:val="001A2AA9"/>
    <w:rsid w:val="001A39FB"/>
    <w:rsid w:val="001A4774"/>
    <w:rsid w:val="001A5CD7"/>
    <w:rsid w:val="001B0B4C"/>
    <w:rsid w:val="001B1EDF"/>
    <w:rsid w:val="001B2FE6"/>
    <w:rsid w:val="001B3DA1"/>
    <w:rsid w:val="001B5771"/>
    <w:rsid w:val="001B6068"/>
    <w:rsid w:val="001C137B"/>
    <w:rsid w:val="001C1D03"/>
    <w:rsid w:val="001C2FAE"/>
    <w:rsid w:val="001C4B1C"/>
    <w:rsid w:val="001D0BE4"/>
    <w:rsid w:val="001D43F6"/>
    <w:rsid w:val="001D4DF0"/>
    <w:rsid w:val="001D4E39"/>
    <w:rsid w:val="001D5C2C"/>
    <w:rsid w:val="001D619E"/>
    <w:rsid w:val="001D7091"/>
    <w:rsid w:val="001D735B"/>
    <w:rsid w:val="001D74BA"/>
    <w:rsid w:val="001D7BB3"/>
    <w:rsid w:val="001E092F"/>
    <w:rsid w:val="001E0E45"/>
    <w:rsid w:val="001E4670"/>
    <w:rsid w:val="001E69CC"/>
    <w:rsid w:val="001F02C3"/>
    <w:rsid w:val="001F0C98"/>
    <w:rsid w:val="001F14BF"/>
    <w:rsid w:val="001F3AE8"/>
    <w:rsid w:val="001F5EB4"/>
    <w:rsid w:val="001F6689"/>
    <w:rsid w:val="001F77D1"/>
    <w:rsid w:val="002002EC"/>
    <w:rsid w:val="002052DD"/>
    <w:rsid w:val="00206FB4"/>
    <w:rsid w:val="00207A60"/>
    <w:rsid w:val="002104F6"/>
    <w:rsid w:val="00210E31"/>
    <w:rsid w:val="00211639"/>
    <w:rsid w:val="00211D1C"/>
    <w:rsid w:val="002123AF"/>
    <w:rsid w:val="00216694"/>
    <w:rsid w:val="00216B8F"/>
    <w:rsid w:val="00216CAC"/>
    <w:rsid w:val="00216EE8"/>
    <w:rsid w:val="00217CEA"/>
    <w:rsid w:val="00220064"/>
    <w:rsid w:val="00224E94"/>
    <w:rsid w:val="00225BA6"/>
    <w:rsid w:val="00230273"/>
    <w:rsid w:val="00230D53"/>
    <w:rsid w:val="002326C6"/>
    <w:rsid w:val="00233176"/>
    <w:rsid w:val="00234023"/>
    <w:rsid w:val="00236B8D"/>
    <w:rsid w:val="00241DA3"/>
    <w:rsid w:val="002451B6"/>
    <w:rsid w:val="002468F0"/>
    <w:rsid w:val="002469BB"/>
    <w:rsid w:val="00247CFA"/>
    <w:rsid w:val="00251084"/>
    <w:rsid w:val="00251B10"/>
    <w:rsid w:val="002525F5"/>
    <w:rsid w:val="00252C1C"/>
    <w:rsid w:val="0025354E"/>
    <w:rsid w:val="002543AF"/>
    <w:rsid w:val="002578D5"/>
    <w:rsid w:val="00260C40"/>
    <w:rsid w:val="00261A3C"/>
    <w:rsid w:val="00264D6D"/>
    <w:rsid w:val="00266033"/>
    <w:rsid w:val="002663BE"/>
    <w:rsid w:val="002673FD"/>
    <w:rsid w:val="00267729"/>
    <w:rsid w:val="00271F75"/>
    <w:rsid w:val="00272B2C"/>
    <w:rsid w:val="00272F0E"/>
    <w:rsid w:val="0027317A"/>
    <w:rsid w:val="00275F48"/>
    <w:rsid w:val="002810BF"/>
    <w:rsid w:val="00282068"/>
    <w:rsid w:val="00286AAE"/>
    <w:rsid w:val="00287179"/>
    <w:rsid w:val="00290C62"/>
    <w:rsid w:val="0029103D"/>
    <w:rsid w:val="00292A45"/>
    <w:rsid w:val="00292C45"/>
    <w:rsid w:val="00295EB3"/>
    <w:rsid w:val="002963CB"/>
    <w:rsid w:val="002A07E0"/>
    <w:rsid w:val="002A6500"/>
    <w:rsid w:val="002B04E0"/>
    <w:rsid w:val="002B0FCB"/>
    <w:rsid w:val="002B29D7"/>
    <w:rsid w:val="002B2F2C"/>
    <w:rsid w:val="002B5336"/>
    <w:rsid w:val="002B5BF2"/>
    <w:rsid w:val="002B6111"/>
    <w:rsid w:val="002B61FF"/>
    <w:rsid w:val="002B7F0A"/>
    <w:rsid w:val="002C25A7"/>
    <w:rsid w:val="002C293A"/>
    <w:rsid w:val="002C481F"/>
    <w:rsid w:val="002C5436"/>
    <w:rsid w:val="002C54CF"/>
    <w:rsid w:val="002C6DA1"/>
    <w:rsid w:val="002C7715"/>
    <w:rsid w:val="002D11C1"/>
    <w:rsid w:val="002D16E7"/>
    <w:rsid w:val="002D2BFD"/>
    <w:rsid w:val="002D69AF"/>
    <w:rsid w:val="002D6AC4"/>
    <w:rsid w:val="002E06C8"/>
    <w:rsid w:val="002E07D5"/>
    <w:rsid w:val="002E1BCE"/>
    <w:rsid w:val="002E33B1"/>
    <w:rsid w:val="002E488C"/>
    <w:rsid w:val="002E6C33"/>
    <w:rsid w:val="002F01BF"/>
    <w:rsid w:val="002F4456"/>
    <w:rsid w:val="002F4FAB"/>
    <w:rsid w:val="002F5AB0"/>
    <w:rsid w:val="002F64F4"/>
    <w:rsid w:val="002F7288"/>
    <w:rsid w:val="002F753F"/>
    <w:rsid w:val="00300723"/>
    <w:rsid w:val="0030104C"/>
    <w:rsid w:val="00302311"/>
    <w:rsid w:val="00302EBD"/>
    <w:rsid w:val="00303D77"/>
    <w:rsid w:val="00307184"/>
    <w:rsid w:val="00307BCC"/>
    <w:rsid w:val="0031047C"/>
    <w:rsid w:val="00310F47"/>
    <w:rsid w:val="00313983"/>
    <w:rsid w:val="00314F5D"/>
    <w:rsid w:val="003151DB"/>
    <w:rsid w:val="003176AA"/>
    <w:rsid w:val="00320F7A"/>
    <w:rsid w:val="00321D51"/>
    <w:rsid w:val="00323CFB"/>
    <w:rsid w:val="00325BE5"/>
    <w:rsid w:val="00330CB4"/>
    <w:rsid w:val="00331681"/>
    <w:rsid w:val="003316B7"/>
    <w:rsid w:val="00331D6F"/>
    <w:rsid w:val="00332309"/>
    <w:rsid w:val="00332642"/>
    <w:rsid w:val="003347DC"/>
    <w:rsid w:val="00335A2A"/>
    <w:rsid w:val="003365E8"/>
    <w:rsid w:val="00337BCE"/>
    <w:rsid w:val="003401F4"/>
    <w:rsid w:val="0034161A"/>
    <w:rsid w:val="00342392"/>
    <w:rsid w:val="003435A3"/>
    <w:rsid w:val="00343CF6"/>
    <w:rsid w:val="00347833"/>
    <w:rsid w:val="00350B92"/>
    <w:rsid w:val="003515E6"/>
    <w:rsid w:val="00351A6B"/>
    <w:rsid w:val="003538C8"/>
    <w:rsid w:val="003559CF"/>
    <w:rsid w:val="00355C50"/>
    <w:rsid w:val="003564AE"/>
    <w:rsid w:val="003567E2"/>
    <w:rsid w:val="003622B5"/>
    <w:rsid w:val="003627AC"/>
    <w:rsid w:val="00365342"/>
    <w:rsid w:val="00370360"/>
    <w:rsid w:val="003711ED"/>
    <w:rsid w:val="00373212"/>
    <w:rsid w:val="00373652"/>
    <w:rsid w:val="003746D1"/>
    <w:rsid w:val="003761C4"/>
    <w:rsid w:val="00377476"/>
    <w:rsid w:val="00380598"/>
    <w:rsid w:val="00381CC1"/>
    <w:rsid w:val="00382E5D"/>
    <w:rsid w:val="003835E4"/>
    <w:rsid w:val="00384401"/>
    <w:rsid w:val="003857C4"/>
    <w:rsid w:val="00386A5D"/>
    <w:rsid w:val="00391C35"/>
    <w:rsid w:val="00393150"/>
    <w:rsid w:val="003A11D6"/>
    <w:rsid w:val="003A1D02"/>
    <w:rsid w:val="003A35A6"/>
    <w:rsid w:val="003A4035"/>
    <w:rsid w:val="003A4B32"/>
    <w:rsid w:val="003A663F"/>
    <w:rsid w:val="003A67A2"/>
    <w:rsid w:val="003A6D89"/>
    <w:rsid w:val="003B04CB"/>
    <w:rsid w:val="003B05FC"/>
    <w:rsid w:val="003B1967"/>
    <w:rsid w:val="003B19C2"/>
    <w:rsid w:val="003C055B"/>
    <w:rsid w:val="003C1420"/>
    <w:rsid w:val="003C1583"/>
    <w:rsid w:val="003C18AD"/>
    <w:rsid w:val="003C1CF8"/>
    <w:rsid w:val="003C4E9D"/>
    <w:rsid w:val="003C5234"/>
    <w:rsid w:val="003C55A7"/>
    <w:rsid w:val="003C6163"/>
    <w:rsid w:val="003C71A5"/>
    <w:rsid w:val="003D1BD5"/>
    <w:rsid w:val="003D3457"/>
    <w:rsid w:val="003D3A13"/>
    <w:rsid w:val="003D5258"/>
    <w:rsid w:val="003D54F1"/>
    <w:rsid w:val="003D5D23"/>
    <w:rsid w:val="003E09CC"/>
    <w:rsid w:val="003F0199"/>
    <w:rsid w:val="003F0400"/>
    <w:rsid w:val="003F0C63"/>
    <w:rsid w:val="003F210A"/>
    <w:rsid w:val="003F3FD0"/>
    <w:rsid w:val="003F410A"/>
    <w:rsid w:val="003F5A86"/>
    <w:rsid w:val="003F7344"/>
    <w:rsid w:val="00400BD3"/>
    <w:rsid w:val="00410791"/>
    <w:rsid w:val="00410C6D"/>
    <w:rsid w:val="00410CA2"/>
    <w:rsid w:val="004152BC"/>
    <w:rsid w:val="00415D58"/>
    <w:rsid w:val="00416269"/>
    <w:rsid w:val="00416FEA"/>
    <w:rsid w:val="00417CAF"/>
    <w:rsid w:val="00421CFA"/>
    <w:rsid w:val="00422ED7"/>
    <w:rsid w:val="00424F27"/>
    <w:rsid w:val="004279D7"/>
    <w:rsid w:val="00433C8C"/>
    <w:rsid w:val="00434D73"/>
    <w:rsid w:val="004358B2"/>
    <w:rsid w:val="00436BB5"/>
    <w:rsid w:val="00441961"/>
    <w:rsid w:val="004475A1"/>
    <w:rsid w:val="004501E0"/>
    <w:rsid w:val="00451C53"/>
    <w:rsid w:val="00453DC0"/>
    <w:rsid w:val="0046153A"/>
    <w:rsid w:val="004622A3"/>
    <w:rsid w:val="00464FDB"/>
    <w:rsid w:val="00470875"/>
    <w:rsid w:val="00471AD5"/>
    <w:rsid w:val="00471E19"/>
    <w:rsid w:val="0047282C"/>
    <w:rsid w:val="00474C46"/>
    <w:rsid w:val="00475993"/>
    <w:rsid w:val="00480EF2"/>
    <w:rsid w:val="0048126A"/>
    <w:rsid w:val="00483257"/>
    <w:rsid w:val="0048406D"/>
    <w:rsid w:val="004848CF"/>
    <w:rsid w:val="00485BC7"/>
    <w:rsid w:val="00490EF7"/>
    <w:rsid w:val="0049131D"/>
    <w:rsid w:val="00491468"/>
    <w:rsid w:val="00491B88"/>
    <w:rsid w:val="00492523"/>
    <w:rsid w:val="00492F97"/>
    <w:rsid w:val="00493164"/>
    <w:rsid w:val="00494BD7"/>
    <w:rsid w:val="004952F5"/>
    <w:rsid w:val="004A0E19"/>
    <w:rsid w:val="004A24A9"/>
    <w:rsid w:val="004A32C5"/>
    <w:rsid w:val="004A46A1"/>
    <w:rsid w:val="004A4708"/>
    <w:rsid w:val="004A5268"/>
    <w:rsid w:val="004A7FB3"/>
    <w:rsid w:val="004B0A1E"/>
    <w:rsid w:val="004B0FCD"/>
    <w:rsid w:val="004B10A5"/>
    <w:rsid w:val="004B28A5"/>
    <w:rsid w:val="004B2D42"/>
    <w:rsid w:val="004B2FD1"/>
    <w:rsid w:val="004B4504"/>
    <w:rsid w:val="004B735D"/>
    <w:rsid w:val="004C02D2"/>
    <w:rsid w:val="004C13B2"/>
    <w:rsid w:val="004C6521"/>
    <w:rsid w:val="004C6CB9"/>
    <w:rsid w:val="004C77B8"/>
    <w:rsid w:val="004C79AA"/>
    <w:rsid w:val="004D0042"/>
    <w:rsid w:val="004D24C5"/>
    <w:rsid w:val="004D4288"/>
    <w:rsid w:val="004D4965"/>
    <w:rsid w:val="004D6BD2"/>
    <w:rsid w:val="004D6E74"/>
    <w:rsid w:val="004D72D6"/>
    <w:rsid w:val="004E1215"/>
    <w:rsid w:val="004E24B3"/>
    <w:rsid w:val="004E360E"/>
    <w:rsid w:val="004E4A46"/>
    <w:rsid w:val="004E5AAE"/>
    <w:rsid w:val="004F0808"/>
    <w:rsid w:val="004F3658"/>
    <w:rsid w:val="004F36D3"/>
    <w:rsid w:val="004F4DBA"/>
    <w:rsid w:val="004F53F7"/>
    <w:rsid w:val="004F5D4E"/>
    <w:rsid w:val="004F6183"/>
    <w:rsid w:val="004F6434"/>
    <w:rsid w:val="0050128C"/>
    <w:rsid w:val="005015C7"/>
    <w:rsid w:val="00501B10"/>
    <w:rsid w:val="00502A5A"/>
    <w:rsid w:val="00504831"/>
    <w:rsid w:val="00504E72"/>
    <w:rsid w:val="005069B1"/>
    <w:rsid w:val="0051136C"/>
    <w:rsid w:val="005119A9"/>
    <w:rsid w:val="00513DB2"/>
    <w:rsid w:val="00514327"/>
    <w:rsid w:val="0051462F"/>
    <w:rsid w:val="00520284"/>
    <w:rsid w:val="005207B0"/>
    <w:rsid w:val="0052160E"/>
    <w:rsid w:val="005257CF"/>
    <w:rsid w:val="0052651C"/>
    <w:rsid w:val="00530BF5"/>
    <w:rsid w:val="0053197F"/>
    <w:rsid w:val="00532605"/>
    <w:rsid w:val="00533777"/>
    <w:rsid w:val="005354A6"/>
    <w:rsid w:val="0054009B"/>
    <w:rsid w:val="00540FF3"/>
    <w:rsid w:val="0054121D"/>
    <w:rsid w:val="0054263E"/>
    <w:rsid w:val="00543F64"/>
    <w:rsid w:val="00545F3F"/>
    <w:rsid w:val="00547B70"/>
    <w:rsid w:val="005521F0"/>
    <w:rsid w:val="005554E7"/>
    <w:rsid w:val="0055733D"/>
    <w:rsid w:val="005638E4"/>
    <w:rsid w:val="00565532"/>
    <w:rsid w:val="005669D3"/>
    <w:rsid w:val="00567438"/>
    <w:rsid w:val="00570431"/>
    <w:rsid w:val="00570EE7"/>
    <w:rsid w:val="00573C24"/>
    <w:rsid w:val="00577C27"/>
    <w:rsid w:val="005801A8"/>
    <w:rsid w:val="005801C9"/>
    <w:rsid w:val="00580A5C"/>
    <w:rsid w:val="0058318B"/>
    <w:rsid w:val="005834F3"/>
    <w:rsid w:val="00584A84"/>
    <w:rsid w:val="005866E2"/>
    <w:rsid w:val="005867DC"/>
    <w:rsid w:val="005869F1"/>
    <w:rsid w:val="0058750C"/>
    <w:rsid w:val="00592343"/>
    <w:rsid w:val="0059340D"/>
    <w:rsid w:val="005937F0"/>
    <w:rsid w:val="00594528"/>
    <w:rsid w:val="0059745C"/>
    <w:rsid w:val="00597806"/>
    <w:rsid w:val="005A3D12"/>
    <w:rsid w:val="005A43EB"/>
    <w:rsid w:val="005A6223"/>
    <w:rsid w:val="005A62A9"/>
    <w:rsid w:val="005A6B86"/>
    <w:rsid w:val="005B2739"/>
    <w:rsid w:val="005B2AAF"/>
    <w:rsid w:val="005B71E5"/>
    <w:rsid w:val="005B7B92"/>
    <w:rsid w:val="005B7E18"/>
    <w:rsid w:val="005B7F39"/>
    <w:rsid w:val="005C4438"/>
    <w:rsid w:val="005C62D2"/>
    <w:rsid w:val="005C6D6D"/>
    <w:rsid w:val="005C7226"/>
    <w:rsid w:val="005D2700"/>
    <w:rsid w:val="005D2E31"/>
    <w:rsid w:val="005D4879"/>
    <w:rsid w:val="005D7722"/>
    <w:rsid w:val="005D7CA3"/>
    <w:rsid w:val="005E0DA8"/>
    <w:rsid w:val="005E3B3A"/>
    <w:rsid w:val="005E4E5F"/>
    <w:rsid w:val="005E5257"/>
    <w:rsid w:val="005E5335"/>
    <w:rsid w:val="005E5DAE"/>
    <w:rsid w:val="005E7AE8"/>
    <w:rsid w:val="005F00DD"/>
    <w:rsid w:val="005F01D8"/>
    <w:rsid w:val="005F09CB"/>
    <w:rsid w:val="005F1519"/>
    <w:rsid w:val="005F1C52"/>
    <w:rsid w:val="005F2900"/>
    <w:rsid w:val="005F445D"/>
    <w:rsid w:val="005F502A"/>
    <w:rsid w:val="005F5DB3"/>
    <w:rsid w:val="0060084D"/>
    <w:rsid w:val="006009AF"/>
    <w:rsid w:val="006023B6"/>
    <w:rsid w:val="00605085"/>
    <w:rsid w:val="006072FD"/>
    <w:rsid w:val="00611FD4"/>
    <w:rsid w:val="0061363B"/>
    <w:rsid w:val="0061430B"/>
    <w:rsid w:val="006155F2"/>
    <w:rsid w:val="00620855"/>
    <w:rsid w:val="006215EB"/>
    <w:rsid w:val="00625FE9"/>
    <w:rsid w:val="00627617"/>
    <w:rsid w:val="00631425"/>
    <w:rsid w:val="0063282A"/>
    <w:rsid w:val="0063399E"/>
    <w:rsid w:val="006343F6"/>
    <w:rsid w:val="00635155"/>
    <w:rsid w:val="00636548"/>
    <w:rsid w:val="006371CF"/>
    <w:rsid w:val="00637770"/>
    <w:rsid w:val="00637B62"/>
    <w:rsid w:val="00637F2A"/>
    <w:rsid w:val="006407D2"/>
    <w:rsid w:val="006418AB"/>
    <w:rsid w:val="0064744D"/>
    <w:rsid w:val="00650087"/>
    <w:rsid w:val="00651775"/>
    <w:rsid w:val="00653166"/>
    <w:rsid w:val="00656218"/>
    <w:rsid w:val="00657647"/>
    <w:rsid w:val="00660067"/>
    <w:rsid w:val="0066224C"/>
    <w:rsid w:val="00663445"/>
    <w:rsid w:val="0066659E"/>
    <w:rsid w:val="00667083"/>
    <w:rsid w:val="00667F41"/>
    <w:rsid w:val="0067611F"/>
    <w:rsid w:val="006763E4"/>
    <w:rsid w:val="0067677D"/>
    <w:rsid w:val="00681160"/>
    <w:rsid w:val="00681D4E"/>
    <w:rsid w:val="00682787"/>
    <w:rsid w:val="00685DDE"/>
    <w:rsid w:val="00687FDB"/>
    <w:rsid w:val="0069089F"/>
    <w:rsid w:val="006922B3"/>
    <w:rsid w:val="006924A8"/>
    <w:rsid w:val="00696615"/>
    <w:rsid w:val="00696991"/>
    <w:rsid w:val="006969A1"/>
    <w:rsid w:val="00696D97"/>
    <w:rsid w:val="00697751"/>
    <w:rsid w:val="006A055E"/>
    <w:rsid w:val="006A1BF2"/>
    <w:rsid w:val="006A1F41"/>
    <w:rsid w:val="006A24AF"/>
    <w:rsid w:val="006A5142"/>
    <w:rsid w:val="006B02B4"/>
    <w:rsid w:val="006B0E2E"/>
    <w:rsid w:val="006B283A"/>
    <w:rsid w:val="006B4177"/>
    <w:rsid w:val="006B5AFF"/>
    <w:rsid w:val="006B62E5"/>
    <w:rsid w:val="006B64B0"/>
    <w:rsid w:val="006B787C"/>
    <w:rsid w:val="006C3F0B"/>
    <w:rsid w:val="006C596A"/>
    <w:rsid w:val="006C705E"/>
    <w:rsid w:val="006C7CF2"/>
    <w:rsid w:val="006D1853"/>
    <w:rsid w:val="006D4996"/>
    <w:rsid w:val="006D4E65"/>
    <w:rsid w:val="006D62AE"/>
    <w:rsid w:val="006D7297"/>
    <w:rsid w:val="006D7F4B"/>
    <w:rsid w:val="006E13B4"/>
    <w:rsid w:val="006E39EA"/>
    <w:rsid w:val="006E4D35"/>
    <w:rsid w:val="006E5E29"/>
    <w:rsid w:val="006E69E5"/>
    <w:rsid w:val="006F185C"/>
    <w:rsid w:val="006F1FFF"/>
    <w:rsid w:val="006F31DF"/>
    <w:rsid w:val="006F366B"/>
    <w:rsid w:val="006F36CE"/>
    <w:rsid w:val="006F4526"/>
    <w:rsid w:val="006F5CE7"/>
    <w:rsid w:val="006F6124"/>
    <w:rsid w:val="006F71D6"/>
    <w:rsid w:val="007018AA"/>
    <w:rsid w:val="00701EFB"/>
    <w:rsid w:val="00702B85"/>
    <w:rsid w:val="00704391"/>
    <w:rsid w:val="00707650"/>
    <w:rsid w:val="007078F7"/>
    <w:rsid w:val="00711229"/>
    <w:rsid w:val="007142CE"/>
    <w:rsid w:val="00714CFC"/>
    <w:rsid w:val="007151DA"/>
    <w:rsid w:val="0071667F"/>
    <w:rsid w:val="00721E01"/>
    <w:rsid w:val="00722E52"/>
    <w:rsid w:val="0072303D"/>
    <w:rsid w:val="007232B0"/>
    <w:rsid w:val="00723523"/>
    <w:rsid w:val="007240B6"/>
    <w:rsid w:val="00725DA0"/>
    <w:rsid w:val="00725FDC"/>
    <w:rsid w:val="007307E5"/>
    <w:rsid w:val="007329C0"/>
    <w:rsid w:val="0074044F"/>
    <w:rsid w:val="007410E8"/>
    <w:rsid w:val="00741212"/>
    <w:rsid w:val="007412D6"/>
    <w:rsid w:val="007451B5"/>
    <w:rsid w:val="00746269"/>
    <w:rsid w:val="00747E26"/>
    <w:rsid w:val="00751CB9"/>
    <w:rsid w:val="00751E20"/>
    <w:rsid w:val="00754A62"/>
    <w:rsid w:val="00755AB0"/>
    <w:rsid w:val="0076079C"/>
    <w:rsid w:val="00761ED3"/>
    <w:rsid w:val="00761FDA"/>
    <w:rsid w:val="00762EB1"/>
    <w:rsid w:val="00763B1E"/>
    <w:rsid w:val="007640A1"/>
    <w:rsid w:val="00764A8F"/>
    <w:rsid w:val="0076550B"/>
    <w:rsid w:val="0076690F"/>
    <w:rsid w:val="00772968"/>
    <w:rsid w:val="00775714"/>
    <w:rsid w:val="00775D4F"/>
    <w:rsid w:val="00776D5A"/>
    <w:rsid w:val="0078196B"/>
    <w:rsid w:val="007840BD"/>
    <w:rsid w:val="00786DEA"/>
    <w:rsid w:val="00794064"/>
    <w:rsid w:val="00794406"/>
    <w:rsid w:val="00795D47"/>
    <w:rsid w:val="00796191"/>
    <w:rsid w:val="00796DF6"/>
    <w:rsid w:val="00796EBF"/>
    <w:rsid w:val="00797083"/>
    <w:rsid w:val="007A08A4"/>
    <w:rsid w:val="007A08E5"/>
    <w:rsid w:val="007A0E34"/>
    <w:rsid w:val="007A2A4E"/>
    <w:rsid w:val="007A2CBA"/>
    <w:rsid w:val="007A31FB"/>
    <w:rsid w:val="007A6523"/>
    <w:rsid w:val="007B30D2"/>
    <w:rsid w:val="007B3CAD"/>
    <w:rsid w:val="007B447B"/>
    <w:rsid w:val="007C0387"/>
    <w:rsid w:val="007C03AF"/>
    <w:rsid w:val="007C102D"/>
    <w:rsid w:val="007C14B4"/>
    <w:rsid w:val="007C4DC6"/>
    <w:rsid w:val="007C6A0E"/>
    <w:rsid w:val="007D0A59"/>
    <w:rsid w:val="007D1098"/>
    <w:rsid w:val="007D2AE5"/>
    <w:rsid w:val="007D2F74"/>
    <w:rsid w:val="007D68DF"/>
    <w:rsid w:val="007E0FDC"/>
    <w:rsid w:val="007E2267"/>
    <w:rsid w:val="007E28A5"/>
    <w:rsid w:val="007E3933"/>
    <w:rsid w:val="007E749B"/>
    <w:rsid w:val="007E7FFA"/>
    <w:rsid w:val="007F0BBE"/>
    <w:rsid w:val="007F25F8"/>
    <w:rsid w:val="007F5115"/>
    <w:rsid w:val="007F67AC"/>
    <w:rsid w:val="007F6905"/>
    <w:rsid w:val="00800248"/>
    <w:rsid w:val="00801ADF"/>
    <w:rsid w:val="008042BA"/>
    <w:rsid w:val="00805807"/>
    <w:rsid w:val="00805BF7"/>
    <w:rsid w:val="008061CD"/>
    <w:rsid w:val="008064A7"/>
    <w:rsid w:val="00806A99"/>
    <w:rsid w:val="00806B9B"/>
    <w:rsid w:val="0080714A"/>
    <w:rsid w:val="00807AA0"/>
    <w:rsid w:val="008101DC"/>
    <w:rsid w:val="00811225"/>
    <w:rsid w:val="008116EF"/>
    <w:rsid w:val="00812EF5"/>
    <w:rsid w:val="00814953"/>
    <w:rsid w:val="00814FE0"/>
    <w:rsid w:val="00815140"/>
    <w:rsid w:val="00817C0A"/>
    <w:rsid w:val="008214DD"/>
    <w:rsid w:val="00822528"/>
    <w:rsid w:val="0082396C"/>
    <w:rsid w:val="00825381"/>
    <w:rsid w:val="00825ACD"/>
    <w:rsid w:val="0082660B"/>
    <w:rsid w:val="0082756A"/>
    <w:rsid w:val="00827C0D"/>
    <w:rsid w:val="00834AD7"/>
    <w:rsid w:val="008354B9"/>
    <w:rsid w:val="00837BA3"/>
    <w:rsid w:val="00846DD9"/>
    <w:rsid w:val="00852EBA"/>
    <w:rsid w:val="008546F6"/>
    <w:rsid w:val="00854B19"/>
    <w:rsid w:val="00856B03"/>
    <w:rsid w:val="008621EE"/>
    <w:rsid w:val="008626C1"/>
    <w:rsid w:val="008631AA"/>
    <w:rsid w:val="00863DE1"/>
    <w:rsid w:val="00864805"/>
    <w:rsid w:val="00865CBD"/>
    <w:rsid w:val="00867CEB"/>
    <w:rsid w:val="00870B80"/>
    <w:rsid w:val="00874946"/>
    <w:rsid w:val="008765AA"/>
    <w:rsid w:val="00877F6E"/>
    <w:rsid w:val="008804E1"/>
    <w:rsid w:val="00883070"/>
    <w:rsid w:val="00884E88"/>
    <w:rsid w:val="0088640B"/>
    <w:rsid w:val="00887DCB"/>
    <w:rsid w:val="00890704"/>
    <w:rsid w:val="008911E2"/>
    <w:rsid w:val="00891EFF"/>
    <w:rsid w:val="00893E4D"/>
    <w:rsid w:val="00895506"/>
    <w:rsid w:val="008968B5"/>
    <w:rsid w:val="00896C7F"/>
    <w:rsid w:val="008A22BA"/>
    <w:rsid w:val="008A32AD"/>
    <w:rsid w:val="008A459A"/>
    <w:rsid w:val="008A6053"/>
    <w:rsid w:val="008A6328"/>
    <w:rsid w:val="008B1425"/>
    <w:rsid w:val="008B44F5"/>
    <w:rsid w:val="008B62E6"/>
    <w:rsid w:val="008B6EA1"/>
    <w:rsid w:val="008C01EC"/>
    <w:rsid w:val="008C06FE"/>
    <w:rsid w:val="008C38CB"/>
    <w:rsid w:val="008C6577"/>
    <w:rsid w:val="008C7650"/>
    <w:rsid w:val="008D5F7A"/>
    <w:rsid w:val="008D6357"/>
    <w:rsid w:val="008E048C"/>
    <w:rsid w:val="008E2530"/>
    <w:rsid w:val="008E46D7"/>
    <w:rsid w:val="008E6202"/>
    <w:rsid w:val="008E69AA"/>
    <w:rsid w:val="008F0E0E"/>
    <w:rsid w:val="008F2B27"/>
    <w:rsid w:val="008F3B47"/>
    <w:rsid w:val="008F3E0C"/>
    <w:rsid w:val="008F659C"/>
    <w:rsid w:val="008F73D5"/>
    <w:rsid w:val="008F7608"/>
    <w:rsid w:val="008F7803"/>
    <w:rsid w:val="008F7CCE"/>
    <w:rsid w:val="008F7F02"/>
    <w:rsid w:val="009026EB"/>
    <w:rsid w:val="009070EC"/>
    <w:rsid w:val="0090755D"/>
    <w:rsid w:val="009108C7"/>
    <w:rsid w:val="00911D43"/>
    <w:rsid w:val="009123E2"/>
    <w:rsid w:val="00913B99"/>
    <w:rsid w:val="0091579A"/>
    <w:rsid w:val="00917404"/>
    <w:rsid w:val="009174BB"/>
    <w:rsid w:val="00917E68"/>
    <w:rsid w:val="00920D92"/>
    <w:rsid w:val="00922CFC"/>
    <w:rsid w:val="00924C99"/>
    <w:rsid w:val="00927F4F"/>
    <w:rsid w:val="00930309"/>
    <w:rsid w:val="00932270"/>
    <w:rsid w:val="0093247B"/>
    <w:rsid w:val="00932E9B"/>
    <w:rsid w:val="00933C11"/>
    <w:rsid w:val="00934DCF"/>
    <w:rsid w:val="00935BE6"/>
    <w:rsid w:val="00935ECD"/>
    <w:rsid w:val="00936854"/>
    <w:rsid w:val="00937456"/>
    <w:rsid w:val="00940A61"/>
    <w:rsid w:val="00941192"/>
    <w:rsid w:val="00944930"/>
    <w:rsid w:val="00945312"/>
    <w:rsid w:val="00947F2D"/>
    <w:rsid w:val="00950C76"/>
    <w:rsid w:val="00950F50"/>
    <w:rsid w:val="0095216A"/>
    <w:rsid w:val="00952663"/>
    <w:rsid w:val="009544AB"/>
    <w:rsid w:val="00954B4A"/>
    <w:rsid w:val="00957013"/>
    <w:rsid w:val="00957A49"/>
    <w:rsid w:val="00960554"/>
    <w:rsid w:val="00961991"/>
    <w:rsid w:val="009651BD"/>
    <w:rsid w:val="009663D5"/>
    <w:rsid w:val="009705A6"/>
    <w:rsid w:val="00974094"/>
    <w:rsid w:val="00975284"/>
    <w:rsid w:val="00984909"/>
    <w:rsid w:val="00993083"/>
    <w:rsid w:val="009940A3"/>
    <w:rsid w:val="009A07E3"/>
    <w:rsid w:val="009A2F6A"/>
    <w:rsid w:val="009A399C"/>
    <w:rsid w:val="009A40D0"/>
    <w:rsid w:val="009A47C4"/>
    <w:rsid w:val="009A68A3"/>
    <w:rsid w:val="009A7DDB"/>
    <w:rsid w:val="009B0C5B"/>
    <w:rsid w:val="009B1C46"/>
    <w:rsid w:val="009B3AA5"/>
    <w:rsid w:val="009B62FE"/>
    <w:rsid w:val="009C278F"/>
    <w:rsid w:val="009C3064"/>
    <w:rsid w:val="009C3354"/>
    <w:rsid w:val="009C49FB"/>
    <w:rsid w:val="009C63B9"/>
    <w:rsid w:val="009D029E"/>
    <w:rsid w:val="009D0BF0"/>
    <w:rsid w:val="009D4C8D"/>
    <w:rsid w:val="009E0B77"/>
    <w:rsid w:val="009E0D76"/>
    <w:rsid w:val="009E1D00"/>
    <w:rsid w:val="009E412C"/>
    <w:rsid w:val="009E6584"/>
    <w:rsid w:val="009E71AC"/>
    <w:rsid w:val="009F046C"/>
    <w:rsid w:val="009F18A6"/>
    <w:rsid w:val="009F1B25"/>
    <w:rsid w:val="009F25A3"/>
    <w:rsid w:val="009F641F"/>
    <w:rsid w:val="009F6C16"/>
    <w:rsid w:val="00A00358"/>
    <w:rsid w:val="00A014E5"/>
    <w:rsid w:val="00A01846"/>
    <w:rsid w:val="00A0349F"/>
    <w:rsid w:val="00A03879"/>
    <w:rsid w:val="00A0483B"/>
    <w:rsid w:val="00A053AD"/>
    <w:rsid w:val="00A066DA"/>
    <w:rsid w:val="00A06A8A"/>
    <w:rsid w:val="00A07620"/>
    <w:rsid w:val="00A07A99"/>
    <w:rsid w:val="00A10548"/>
    <w:rsid w:val="00A10F8D"/>
    <w:rsid w:val="00A1108A"/>
    <w:rsid w:val="00A12686"/>
    <w:rsid w:val="00A12D8A"/>
    <w:rsid w:val="00A15805"/>
    <w:rsid w:val="00A16D6A"/>
    <w:rsid w:val="00A214A6"/>
    <w:rsid w:val="00A21901"/>
    <w:rsid w:val="00A242E0"/>
    <w:rsid w:val="00A245D2"/>
    <w:rsid w:val="00A24A4C"/>
    <w:rsid w:val="00A254FF"/>
    <w:rsid w:val="00A271C8"/>
    <w:rsid w:val="00A272B4"/>
    <w:rsid w:val="00A302F9"/>
    <w:rsid w:val="00A3112A"/>
    <w:rsid w:val="00A32AED"/>
    <w:rsid w:val="00A34F63"/>
    <w:rsid w:val="00A35BE4"/>
    <w:rsid w:val="00A445F3"/>
    <w:rsid w:val="00A44B13"/>
    <w:rsid w:val="00A45868"/>
    <w:rsid w:val="00A521A5"/>
    <w:rsid w:val="00A52FF7"/>
    <w:rsid w:val="00A54867"/>
    <w:rsid w:val="00A5559F"/>
    <w:rsid w:val="00A60DCB"/>
    <w:rsid w:val="00A610DD"/>
    <w:rsid w:val="00A61B42"/>
    <w:rsid w:val="00A63DE7"/>
    <w:rsid w:val="00A64C6F"/>
    <w:rsid w:val="00A654DC"/>
    <w:rsid w:val="00A67269"/>
    <w:rsid w:val="00A71380"/>
    <w:rsid w:val="00A7455B"/>
    <w:rsid w:val="00A74F83"/>
    <w:rsid w:val="00A753A3"/>
    <w:rsid w:val="00A76878"/>
    <w:rsid w:val="00A77D83"/>
    <w:rsid w:val="00A82B02"/>
    <w:rsid w:val="00A83982"/>
    <w:rsid w:val="00A83BD8"/>
    <w:rsid w:val="00A83FBD"/>
    <w:rsid w:val="00A860B4"/>
    <w:rsid w:val="00A8674D"/>
    <w:rsid w:val="00A91D09"/>
    <w:rsid w:val="00A91D75"/>
    <w:rsid w:val="00A93B95"/>
    <w:rsid w:val="00A93F50"/>
    <w:rsid w:val="00A94C24"/>
    <w:rsid w:val="00A9521D"/>
    <w:rsid w:val="00A971ED"/>
    <w:rsid w:val="00AA1861"/>
    <w:rsid w:val="00AA2C7D"/>
    <w:rsid w:val="00AA30BA"/>
    <w:rsid w:val="00AA471B"/>
    <w:rsid w:val="00AA5BBE"/>
    <w:rsid w:val="00AA63C2"/>
    <w:rsid w:val="00AA6CFF"/>
    <w:rsid w:val="00AB211E"/>
    <w:rsid w:val="00AB5535"/>
    <w:rsid w:val="00AC11DA"/>
    <w:rsid w:val="00AC207D"/>
    <w:rsid w:val="00AC216E"/>
    <w:rsid w:val="00AC7BE1"/>
    <w:rsid w:val="00AD1FDE"/>
    <w:rsid w:val="00AD2F13"/>
    <w:rsid w:val="00AD3AFB"/>
    <w:rsid w:val="00AD4CA2"/>
    <w:rsid w:val="00AD559B"/>
    <w:rsid w:val="00AD5670"/>
    <w:rsid w:val="00AD61EB"/>
    <w:rsid w:val="00AD760F"/>
    <w:rsid w:val="00AD76DB"/>
    <w:rsid w:val="00AD7843"/>
    <w:rsid w:val="00AE179F"/>
    <w:rsid w:val="00AE2DBE"/>
    <w:rsid w:val="00AE3758"/>
    <w:rsid w:val="00AE4711"/>
    <w:rsid w:val="00AE50E3"/>
    <w:rsid w:val="00AE5C94"/>
    <w:rsid w:val="00AE7E1D"/>
    <w:rsid w:val="00AF04FA"/>
    <w:rsid w:val="00AF20A3"/>
    <w:rsid w:val="00AF311E"/>
    <w:rsid w:val="00AF39F5"/>
    <w:rsid w:val="00B00AB8"/>
    <w:rsid w:val="00B03E8D"/>
    <w:rsid w:val="00B04E0C"/>
    <w:rsid w:val="00B0614F"/>
    <w:rsid w:val="00B063C4"/>
    <w:rsid w:val="00B06598"/>
    <w:rsid w:val="00B1011E"/>
    <w:rsid w:val="00B10435"/>
    <w:rsid w:val="00B1196B"/>
    <w:rsid w:val="00B13022"/>
    <w:rsid w:val="00B13C0B"/>
    <w:rsid w:val="00B14A5A"/>
    <w:rsid w:val="00B16657"/>
    <w:rsid w:val="00B17CE4"/>
    <w:rsid w:val="00B20B68"/>
    <w:rsid w:val="00B22234"/>
    <w:rsid w:val="00B3439D"/>
    <w:rsid w:val="00B34A4C"/>
    <w:rsid w:val="00B35E72"/>
    <w:rsid w:val="00B371B1"/>
    <w:rsid w:val="00B372F6"/>
    <w:rsid w:val="00B376E7"/>
    <w:rsid w:val="00B4120A"/>
    <w:rsid w:val="00B41E80"/>
    <w:rsid w:val="00B44555"/>
    <w:rsid w:val="00B456A6"/>
    <w:rsid w:val="00B46DCA"/>
    <w:rsid w:val="00B53155"/>
    <w:rsid w:val="00B545CF"/>
    <w:rsid w:val="00B54628"/>
    <w:rsid w:val="00B557E3"/>
    <w:rsid w:val="00B56068"/>
    <w:rsid w:val="00B56300"/>
    <w:rsid w:val="00B62064"/>
    <w:rsid w:val="00B629EC"/>
    <w:rsid w:val="00B65A32"/>
    <w:rsid w:val="00B67A89"/>
    <w:rsid w:val="00B7001F"/>
    <w:rsid w:val="00B7096E"/>
    <w:rsid w:val="00B74A11"/>
    <w:rsid w:val="00B75C72"/>
    <w:rsid w:val="00B76381"/>
    <w:rsid w:val="00B76B2A"/>
    <w:rsid w:val="00B82619"/>
    <w:rsid w:val="00B85EFA"/>
    <w:rsid w:val="00B86F69"/>
    <w:rsid w:val="00B904C1"/>
    <w:rsid w:val="00B94890"/>
    <w:rsid w:val="00B94B3D"/>
    <w:rsid w:val="00B96D49"/>
    <w:rsid w:val="00B97288"/>
    <w:rsid w:val="00BA092A"/>
    <w:rsid w:val="00BA2452"/>
    <w:rsid w:val="00BB2987"/>
    <w:rsid w:val="00BB31B7"/>
    <w:rsid w:val="00BB34A5"/>
    <w:rsid w:val="00BB4CC1"/>
    <w:rsid w:val="00BB6520"/>
    <w:rsid w:val="00BC075E"/>
    <w:rsid w:val="00BC1E9F"/>
    <w:rsid w:val="00BC3926"/>
    <w:rsid w:val="00BC5F47"/>
    <w:rsid w:val="00BD0981"/>
    <w:rsid w:val="00BD0F07"/>
    <w:rsid w:val="00BD469E"/>
    <w:rsid w:val="00BD6C35"/>
    <w:rsid w:val="00BD7B86"/>
    <w:rsid w:val="00BE0332"/>
    <w:rsid w:val="00BE129C"/>
    <w:rsid w:val="00BE3453"/>
    <w:rsid w:val="00BE489F"/>
    <w:rsid w:val="00BE5C5B"/>
    <w:rsid w:val="00BE6C6F"/>
    <w:rsid w:val="00BF661A"/>
    <w:rsid w:val="00C0104F"/>
    <w:rsid w:val="00C011A6"/>
    <w:rsid w:val="00C01DBA"/>
    <w:rsid w:val="00C040BC"/>
    <w:rsid w:val="00C04D82"/>
    <w:rsid w:val="00C0768F"/>
    <w:rsid w:val="00C10896"/>
    <w:rsid w:val="00C11E15"/>
    <w:rsid w:val="00C1284C"/>
    <w:rsid w:val="00C1443A"/>
    <w:rsid w:val="00C14A02"/>
    <w:rsid w:val="00C17F43"/>
    <w:rsid w:val="00C218E1"/>
    <w:rsid w:val="00C23C5D"/>
    <w:rsid w:val="00C2422C"/>
    <w:rsid w:val="00C26909"/>
    <w:rsid w:val="00C26E8A"/>
    <w:rsid w:val="00C27146"/>
    <w:rsid w:val="00C307D9"/>
    <w:rsid w:val="00C32B1C"/>
    <w:rsid w:val="00C335D3"/>
    <w:rsid w:val="00C3641B"/>
    <w:rsid w:val="00C36504"/>
    <w:rsid w:val="00C3750A"/>
    <w:rsid w:val="00C40022"/>
    <w:rsid w:val="00C41243"/>
    <w:rsid w:val="00C45D52"/>
    <w:rsid w:val="00C47BE3"/>
    <w:rsid w:val="00C50779"/>
    <w:rsid w:val="00C50AD4"/>
    <w:rsid w:val="00C5130A"/>
    <w:rsid w:val="00C5172B"/>
    <w:rsid w:val="00C51EFD"/>
    <w:rsid w:val="00C530EE"/>
    <w:rsid w:val="00C53D18"/>
    <w:rsid w:val="00C55902"/>
    <w:rsid w:val="00C6005B"/>
    <w:rsid w:val="00C607A8"/>
    <w:rsid w:val="00C62390"/>
    <w:rsid w:val="00C62826"/>
    <w:rsid w:val="00C62EDD"/>
    <w:rsid w:val="00C636EF"/>
    <w:rsid w:val="00C63E82"/>
    <w:rsid w:val="00C703B3"/>
    <w:rsid w:val="00C70553"/>
    <w:rsid w:val="00C72155"/>
    <w:rsid w:val="00C75454"/>
    <w:rsid w:val="00C76520"/>
    <w:rsid w:val="00C81934"/>
    <w:rsid w:val="00C81BF0"/>
    <w:rsid w:val="00C83F53"/>
    <w:rsid w:val="00C84319"/>
    <w:rsid w:val="00C8518D"/>
    <w:rsid w:val="00C859D4"/>
    <w:rsid w:val="00C861EB"/>
    <w:rsid w:val="00C87032"/>
    <w:rsid w:val="00C91898"/>
    <w:rsid w:val="00C9221B"/>
    <w:rsid w:val="00C92C84"/>
    <w:rsid w:val="00C93991"/>
    <w:rsid w:val="00C93B73"/>
    <w:rsid w:val="00C962BD"/>
    <w:rsid w:val="00C96FFA"/>
    <w:rsid w:val="00CA19AC"/>
    <w:rsid w:val="00CA1B9A"/>
    <w:rsid w:val="00CA24A7"/>
    <w:rsid w:val="00CA452B"/>
    <w:rsid w:val="00CA54D3"/>
    <w:rsid w:val="00CA5869"/>
    <w:rsid w:val="00CA6129"/>
    <w:rsid w:val="00CA7446"/>
    <w:rsid w:val="00CB04B2"/>
    <w:rsid w:val="00CB1412"/>
    <w:rsid w:val="00CB3753"/>
    <w:rsid w:val="00CB5ABC"/>
    <w:rsid w:val="00CC358F"/>
    <w:rsid w:val="00CC4279"/>
    <w:rsid w:val="00CC475B"/>
    <w:rsid w:val="00CC6540"/>
    <w:rsid w:val="00CD0082"/>
    <w:rsid w:val="00CD0A66"/>
    <w:rsid w:val="00CD3B8E"/>
    <w:rsid w:val="00CD41C3"/>
    <w:rsid w:val="00CD53A7"/>
    <w:rsid w:val="00CD5786"/>
    <w:rsid w:val="00CD705F"/>
    <w:rsid w:val="00CE0D3D"/>
    <w:rsid w:val="00CE420B"/>
    <w:rsid w:val="00CE4A4D"/>
    <w:rsid w:val="00CE6279"/>
    <w:rsid w:val="00CE76C5"/>
    <w:rsid w:val="00CE7880"/>
    <w:rsid w:val="00CF0B67"/>
    <w:rsid w:val="00CF29E7"/>
    <w:rsid w:val="00CF3327"/>
    <w:rsid w:val="00CF3C1D"/>
    <w:rsid w:val="00CF440F"/>
    <w:rsid w:val="00CF47FB"/>
    <w:rsid w:val="00CF4AFE"/>
    <w:rsid w:val="00D00B20"/>
    <w:rsid w:val="00D02623"/>
    <w:rsid w:val="00D069FE"/>
    <w:rsid w:val="00D10060"/>
    <w:rsid w:val="00D11404"/>
    <w:rsid w:val="00D12D56"/>
    <w:rsid w:val="00D1479D"/>
    <w:rsid w:val="00D201BF"/>
    <w:rsid w:val="00D21072"/>
    <w:rsid w:val="00D21627"/>
    <w:rsid w:val="00D21A10"/>
    <w:rsid w:val="00D21B55"/>
    <w:rsid w:val="00D222F5"/>
    <w:rsid w:val="00D22CC8"/>
    <w:rsid w:val="00D307E0"/>
    <w:rsid w:val="00D31598"/>
    <w:rsid w:val="00D31704"/>
    <w:rsid w:val="00D319EB"/>
    <w:rsid w:val="00D31D69"/>
    <w:rsid w:val="00D330C6"/>
    <w:rsid w:val="00D3602E"/>
    <w:rsid w:val="00D3668B"/>
    <w:rsid w:val="00D367EC"/>
    <w:rsid w:val="00D3709A"/>
    <w:rsid w:val="00D4018B"/>
    <w:rsid w:val="00D44483"/>
    <w:rsid w:val="00D45E11"/>
    <w:rsid w:val="00D51AE2"/>
    <w:rsid w:val="00D54F9B"/>
    <w:rsid w:val="00D5721E"/>
    <w:rsid w:val="00D625A6"/>
    <w:rsid w:val="00D62712"/>
    <w:rsid w:val="00D63D69"/>
    <w:rsid w:val="00D65189"/>
    <w:rsid w:val="00D6650A"/>
    <w:rsid w:val="00D66561"/>
    <w:rsid w:val="00D6670C"/>
    <w:rsid w:val="00D67D0D"/>
    <w:rsid w:val="00D70869"/>
    <w:rsid w:val="00D7231A"/>
    <w:rsid w:val="00D7258E"/>
    <w:rsid w:val="00D73AA4"/>
    <w:rsid w:val="00D80A0D"/>
    <w:rsid w:val="00D83AA0"/>
    <w:rsid w:val="00D83AC2"/>
    <w:rsid w:val="00D864AC"/>
    <w:rsid w:val="00D87B82"/>
    <w:rsid w:val="00D91D1A"/>
    <w:rsid w:val="00D92175"/>
    <w:rsid w:val="00D929FD"/>
    <w:rsid w:val="00D92D9D"/>
    <w:rsid w:val="00D93D35"/>
    <w:rsid w:val="00D950B2"/>
    <w:rsid w:val="00DA12A1"/>
    <w:rsid w:val="00DA2775"/>
    <w:rsid w:val="00DA516C"/>
    <w:rsid w:val="00DA768F"/>
    <w:rsid w:val="00DA7E80"/>
    <w:rsid w:val="00DB09A8"/>
    <w:rsid w:val="00DB1640"/>
    <w:rsid w:val="00DB1A3D"/>
    <w:rsid w:val="00DB1A8F"/>
    <w:rsid w:val="00DB2C87"/>
    <w:rsid w:val="00DB3DEC"/>
    <w:rsid w:val="00DB52FF"/>
    <w:rsid w:val="00DC1834"/>
    <w:rsid w:val="00DC1FFA"/>
    <w:rsid w:val="00DC34A2"/>
    <w:rsid w:val="00DC3E1C"/>
    <w:rsid w:val="00DC47F9"/>
    <w:rsid w:val="00DC57B2"/>
    <w:rsid w:val="00DC5978"/>
    <w:rsid w:val="00DD2D01"/>
    <w:rsid w:val="00DD551C"/>
    <w:rsid w:val="00DE0124"/>
    <w:rsid w:val="00DE0421"/>
    <w:rsid w:val="00DE29E3"/>
    <w:rsid w:val="00DE2B0A"/>
    <w:rsid w:val="00DE61D2"/>
    <w:rsid w:val="00DE6B18"/>
    <w:rsid w:val="00DE7389"/>
    <w:rsid w:val="00DE7422"/>
    <w:rsid w:val="00DE76B3"/>
    <w:rsid w:val="00DF0184"/>
    <w:rsid w:val="00DF10E6"/>
    <w:rsid w:val="00DF38B1"/>
    <w:rsid w:val="00DF5279"/>
    <w:rsid w:val="00DF5D3A"/>
    <w:rsid w:val="00DF66D7"/>
    <w:rsid w:val="00DF6ED6"/>
    <w:rsid w:val="00DF7F9C"/>
    <w:rsid w:val="00E02881"/>
    <w:rsid w:val="00E048F8"/>
    <w:rsid w:val="00E05E78"/>
    <w:rsid w:val="00E06F71"/>
    <w:rsid w:val="00E114BE"/>
    <w:rsid w:val="00E11FF1"/>
    <w:rsid w:val="00E12564"/>
    <w:rsid w:val="00E1473F"/>
    <w:rsid w:val="00E204F1"/>
    <w:rsid w:val="00E20FE1"/>
    <w:rsid w:val="00E259DE"/>
    <w:rsid w:val="00E25ED4"/>
    <w:rsid w:val="00E31FEA"/>
    <w:rsid w:val="00E341B9"/>
    <w:rsid w:val="00E34691"/>
    <w:rsid w:val="00E36474"/>
    <w:rsid w:val="00E366B0"/>
    <w:rsid w:val="00E36C19"/>
    <w:rsid w:val="00E529E8"/>
    <w:rsid w:val="00E533C9"/>
    <w:rsid w:val="00E5386B"/>
    <w:rsid w:val="00E54202"/>
    <w:rsid w:val="00E55BE8"/>
    <w:rsid w:val="00E55C0E"/>
    <w:rsid w:val="00E55D06"/>
    <w:rsid w:val="00E57209"/>
    <w:rsid w:val="00E572C1"/>
    <w:rsid w:val="00E60628"/>
    <w:rsid w:val="00E66B7D"/>
    <w:rsid w:val="00E719CB"/>
    <w:rsid w:val="00E7545A"/>
    <w:rsid w:val="00E754C0"/>
    <w:rsid w:val="00E818E9"/>
    <w:rsid w:val="00E87A3C"/>
    <w:rsid w:val="00E900A4"/>
    <w:rsid w:val="00E90F61"/>
    <w:rsid w:val="00E91848"/>
    <w:rsid w:val="00E92029"/>
    <w:rsid w:val="00E92A23"/>
    <w:rsid w:val="00E94770"/>
    <w:rsid w:val="00E9608A"/>
    <w:rsid w:val="00E97232"/>
    <w:rsid w:val="00E973CF"/>
    <w:rsid w:val="00EA0BB6"/>
    <w:rsid w:val="00EA111C"/>
    <w:rsid w:val="00EA143B"/>
    <w:rsid w:val="00EA1C38"/>
    <w:rsid w:val="00EA2004"/>
    <w:rsid w:val="00EA2F5C"/>
    <w:rsid w:val="00EA3A34"/>
    <w:rsid w:val="00EA4E97"/>
    <w:rsid w:val="00EA5652"/>
    <w:rsid w:val="00EA64B8"/>
    <w:rsid w:val="00EB0E3B"/>
    <w:rsid w:val="00EB10C1"/>
    <w:rsid w:val="00EB35E2"/>
    <w:rsid w:val="00EB6A43"/>
    <w:rsid w:val="00EC760E"/>
    <w:rsid w:val="00ED0E44"/>
    <w:rsid w:val="00ED1414"/>
    <w:rsid w:val="00ED1CAE"/>
    <w:rsid w:val="00ED2565"/>
    <w:rsid w:val="00ED61F1"/>
    <w:rsid w:val="00ED6EE0"/>
    <w:rsid w:val="00ED6F77"/>
    <w:rsid w:val="00EE03C8"/>
    <w:rsid w:val="00EE1F57"/>
    <w:rsid w:val="00EE290D"/>
    <w:rsid w:val="00EE3BEE"/>
    <w:rsid w:val="00EE4C9A"/>
    <w:rsid w:val="00EF0226"/>
    <w:rsid w:val="00EF2FA2"/>
    <w:rsid w:val="00EF461A"/>
    <w:rsid w:val="00EF4F51"/>
    <w:rsid w:val="00EF53D6"/>
    <w:rsid w:val="00EF6551"/>
    <w:rsid w:val="00F015AA"/>
    <w:rsid w:val="00F01CF4"/>
    <w:rsid w:val="00F03B41"/>
    <w:rsid w:val="00F040C5"/>
    <w:rsid w:val="00F1204E"/>
    <w:rsid w:val="00F1572B"/>
    <w:rsid w:val="00F17229"/>
    <w:rsid w:val="00F17983"/>
    <w:rsid w:val="00F21B39"/>
    <w:rsid w:val="00F2345A"/>
    <w:rsid w:val="00F26A2E"/>
    <w:rsid w:val="00F27CAD"/>
    <w:rsid w:val="00F31F2E"/>
    <w:rsid w:val="00F31F5D"/>
    <w:rsid w:val="00F34054"/>
    <w:rsid w:val="00F34F9A"/>
    <w:rsid w:val="00F37AD4"/>
    <w:rsid w:val="00F4088C"/>
    <w:rsid w:val="00F42463"/>
    <w:rsid w:val="00F43ACE"/>
    <w:rsid w:val="00F4444C"/>
    <w:rsid w:val="00F47548"/>
    <w:rsid w:val="00F53D14"/>
    <w:rsid w:val="00F540C2"/>
    <w:rsid w:val="00F5547C"/>
    <w:rsid w:val="00F621C4"/>
    <w:rsid w:val="00F667C3"/>
    <w:rsid w:val="00F70412"/>
    <w:rsid w:val="00F7113C"/>
    <w:rsid w:val="00F715E3"/>
    <w:rsid w:val="00F723D1"/>
    <w:rsid w:val="00F72B0E"/>
    <w:rsid w:val="00F73E83"/>
    <w:rsid w:val="00F7434F"/>
    <w:rsid w:val="00F7459C"/>
    <w:rsid w:val="00F77D4D"/>
    <w:rsid w:val="00F84961"/>
    <w:rsid w:val="00F84B58"/>
    <w:rsid w:val="00F851A2"/>
    <w:rsid w:val="00F93423"/>
    <w:rsid w:val="00F93AC9"/>
    <w:rsid w:val="00F940C6"/>
    <w:rsid w:val="00F94C73"/>
    <w:rsid w:val="00F956C5"/>
    <w:rsid w:val="00FA38B0"/>
    <w:rsid w:val="00FA7A4E"/>
    <w:rsid w:val="00FB34ED"/>
    <w:rsid w:val="00FB3B9A"/>
    <w:rsid w:val="00FB5EF2"/>
    <w:rsid w:val="00FB6667"/>
    <w:rsid w:val="00FB75AF"/>
    <w:rsid w:val="00FB7AF8"/>
    <w:rsid w:val="00FB7B3A"/>
    <w:rsid w:val="00FC1949"/>
    <w:rsid w:val="00FC2936"/>
    <w:rsid w:val="00FC2CCE"/>
    <w:rsid w:val="00FC4F34"/>
    <w:rsid w:val="00FC5C79"/>
    <w:rsid w:val="00FD3216"/>
    <w:rsid w:val="00FD4AD8"/>
    <w:rsid w:val="00FD4B7D"/>
    <w:rsid w:val="00FD4EB8"/>
    <w:rsid w:val="00FD5165"/>
    <w:rsid w:val="00FE170A"/>
    <w:rsid w:val="00FE2A39"/>
    <w:rsid w:val="00FE3699"/>
    <w:rsid w:val="00FE449B"/>
    <w:rsid w:val="00FE46FC"/>
    <w:rsid w:val="00FE4814"/>
    <w:rsid w:val="00FE58ED"/>
    <w:rsid w:val="00FE6178"/>
    <w:rsid w:val="00FF3DDF"/>
    <w:rsid w:val="00FF4B87"/>
    <w:rsid w:val="00FF4FB4"/>
    <w:rsid w:val="00FF6CFD"/>
    <w:rsid w:val="0548342B"/>
    <w:rsid w:val="19993F5E"/>
    <w:rsid w:val="1D9F3FC9"/>
    <w:rsid w:val="28E05B40"/>
    <w:rsid w:val="30F92FE5"/>
    <w:rsid w:val="361908FB"/>
    <w:rsid w:val="45637344"/>
    <w:rsid w:val="4AA828F8"/>
    <w:rsid w:val="673113E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link w:val="30"/>
    <w:qFormat/>
    <w:uiPriority w:val="9"/>
    <w:pPr>
      <w:keepNext/>
      <w:keepLines/>
      <w:spacing w:before="240" w:after="0" w:line="240" w:lineRule="auto"/>
      <w:outlineLvl w:val="0"/>
    </w:pPr>
    <w:rPr>
      <w:rFonts w:asciiTheme="majorHAnsi" w:hAnsiTheme="majorHAnsi" w:eastAsiaTheme="majorEastAsia" w:cstheme="majorBidi"/>
      <w:color w:val="376092" w:themeColor="accent1" w:themeShade="BF"/>
      <w:sz w:val="32"/>
      <w:szCs w:val="32"/>
    </w:rPr>
  </w:style>
  <w:style w:type="paragraph" w:styleId="3">
    <w:name w:val="heading 5"/>
    <w:basedOn w:val="1"/>
    <w:next w:val="1"/>
    <w:link w:val="20"/>
    <w:qFormat/>
    <w:uiPriority w:val="0"/>
    <w:pPr>
      <w:keepNext/>
      <w:tabs>
        <w:tab w:val="left" w:pos="360"/>
      </w:tabs>
      <w:spacing w:after="0" w:line="240" w:lineRule="auto"/>
      <w:ind w:left="360"/>
      <w:jc w:val="both"/>
      <w:outlineLvl w:val="4"/>
    </w:pPr>
    <w:rPr>
      <w:rFonts w:ascii="Times New Roman" w:hAnsi="Times New Roman" w:eastAsia="Times New Roman"/>
      <w:b/>
      <w:bCs/>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2"/>
    <w:semiHidden/>
    <w:unhideWhenUsed/>
    <w:qFormat/>
    <w:uiPriority w:val="99"/>
    <w:pPr>
      <w:spacing w:after="0" w:line="240" w:lineRule="auto"/>
    </w:pPr>
    <w:rPr>
      <w:rFonts w:ascii="Segoe UI" w:hAnsi="Segoe UI"/>
      <w:sz w:val="18"/>
      <w:szCs w:val="18"/>
    </w:rPr>
  </w:style>
  <w:style w:type="paragraph" w:styleId="7">
    <w:name w:val="Body Text"/>
    <w:basedOn w:val="1"/>
    <w:link w:val="21"/>
    <w:qFormat/>
    <w:uiPriority w:val="0"/>
    <w:pPr>
      <w:spacing w:after="120" w:line="240" w:lineRule="auto"/>
    </w:pPr>
    <w:rPr>
      <w:rFonts w:ascii="Times New Roman" w:hAnsi="Times New Roman" w:eastAsia="Times New Roman"/>
      <w:sz w:val="24"/>
      <w:szCs w:val="24"/>
    </w:rPr>
  </w:style>
  <w:style w:type="paragraph" w:styleId="8">
    <w:name w:val="Body Text Indent"/>
    <w:basedOn w:val="1"/>
    <w:link w:val="29"/>
    <w:unhideWhenUsed/>
    <w:qFormat/>
    <w:uiPriority w:val="99"/>
    <w:pPr>
      <w:spacing w:after="120"/>
      <w:ind w:left="283"/>
    </w:pPr>
  </w:style>
  <w:style w:type="character" w:styleId="9">
    <w:name w:val="annotation reference"/>
    <w:basedOn w:val="4"/>
    <w:semiHidden/>
    <w:unhideWhenUsed/>
    <w:qFormat/>
    <w:uiPriority w:val="99"/>
    <w:rPr>
      <w:sz w:val="16"/>
      <w:szCs w:val="16"/>
    </w:rPr>
  </w:style>
  <w:style w:type="paragraph" w:styleId="10">
    <w:name w:val="annotation text"/>
    <w:basedOn w:val="1"/>
    <w:link w:val="27"/>
    <w:semiHidden/>
    <w:unhideWhenUsed/>
    <w:qFormat/>
    <w:uiPriority w:val="99"/>
    <w:pPr>
      <w:spacing w:line="240" w:lineRule="auto"/>
    </w:pPr>
    <w:rPr>
      <w:sz w:val="20"/>
      <w:szCs w:val="20"/>
    </w:rPr>
  </w:style>
  <w:style w:type="paragraph" w:styleId="11">
    <w:name w:val="annotation subject"/>
    <w:basedOn w:val="10"/>
    <w:next w:val="10"/>
    <w:link w:val="28"/>
    <w:semiHidden/>
    <w:unhideWhenUsed/>
    <w:qFormat/>
    <w:uiPriority w:val="99"/>
    <w:rPr>
      <w:b/>
      <w:bCs/>
    </w:rPr>
  </w:style>
  <w:style w:type="paragraph" w:styleId="12">
    <w:name w:val="footer"/>
    <w:basedOn w:val="1"/>
    <w:link w:val="23"/>
    <w:unhideWhenUsed/>
    <w:qFormat/>
    <w:uiPriority w:val="99"/>
    <w:pPr>
      <w:tabs>
        <w:tab w:val="center" w:pos="4513"/>
        <w:tab w:val="right" w:pos="9026"/>
      </w:tabs>
    </w:pPr>
  </w:style>
  <w:style w:type="paragraph" w:styleId="13">
    <w:name w:val="header"/>
    <w:basedOn w:val="1"/>
    <w:link w:val="19"/>
    <w:unhideWhenUsed/>
    <w:qFormat/>
    <w:uiPriority w:val="0"/>
    <w:pPr>
      <w:tabs>
        <w:tab w:val="center" w:pos="4680"/>
        <w:tab w:val="right" w:pos="9360"/>
      </w:tabs>
      <w:spacing w:after="0" w:line="240" w:lineRule="auto"/>
    </w:pPr>
  </w:style>
  <w:style w:type="character" w:styleId="14">
    <w:name w:val="Hyperlink"/>
    <w:unhideWhenUsed/>
    <w:qFormat/>
    <w:uiPriority w:val="99"/>
    <w:rPr>
      <w:color w:val="0000FF"/>
      <w:u w:val="single"/>
    </w:r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lang w:val="id-ID" w:eastAsia="id-ID"/>
    </w:rPr>
  </w:style>
  <w:style w:type="paragraph" w:styleId="16">
    <w:name w:val="Subtitle"/>
    <w:basedOn w:val="1"/>
    <w:next w:val="1"/>
    <w:link w:val="24"/>
    <w:qFormat/>
    <w:uiPriority w:val="11"/>
    <w:pPr>
      <w:spacing w:after="60"/>
      <w:jc w:val="center"/>
      <w:outlineLvl w:val="1"/>
    </w:pPr>
    <w:rPr>
      <w:rFonts w:ascii="Cambria" w:hAnsi="Cambria" w:eastAsia="Times New Roman"/>
      <w:sz w:val="24"/>
      <w:szCs w:val="24"/>
    </w:rPr>
  </w:style>
  <w:style w:type="table" w:styleId="17">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List Paragraph"/>
    <w:basedOn w:val="1"/>
    <w:link w:val="25"/>
    <w:qFormat/>
    <w:uiPriority w:val="34"/>
    <w:pPr>
      <w:ind w:left="720"/>
      <w:contextualSpacing/>
    </w:pPr>
  </w:style>
  <w:style w:type="character" w:customStyle="1" w:styleId="19">
    <w:name w:val="Header Char"/>
    <w:basedOn w:val="4"/>
    <w:link w:val="13"/>
    <w:qFormat/>
    <w:uiPriority w:val="0"/>
  </w:style>
  <w:style w:type="character" w:customStyle="1" w:styleId="20">
    <w:name w:val="Heading 5 Char"/>
    <w:link w:val="3"/>
    <w:qFormat/>
    <w:uiPriority w:val="0"/>
    <w:rPr>
      <w:rFonts w:ascii="Times New Roman" w:hAnsi="Times New Roman" w:eastAsia="Times New Roman" w:cs="Times New Roman"/>
      <w:b/>
      <w:bCs/>
      <w:sz w:val="24"/>
      <w:szCs w:val="24"/>
    </w:rPr>
  </w:style>
  <w:style w:type="character" w:customStyle="1" w:styleId="21">
    <w:name w:val="Body Text Char"/>
    <w:link w:val="7"/>
    <w:qFormat/>
    <w:uiPriority w:val="0"/>
    <w:rPr>
      <w:rFonts w:ascii="Times New Roman" w:hAnsi="Times New Roman" w:eastAsia="Times New Roman" w:cs="Times New Roman"/>
      <w:sz w:val="24"/>
      <w:szCs w:val="24"/>
    </w:rPr>
  </w:style>
  <w:style w:type="character" w:customStyle="1" w:styleId="22">
    <w:name w:val="Balloon Text Char"/>
    <w:link w:val="6"/>
    <w:semiHidden/>
    <w:qFormat/>
    <w:uiPriority w:val="99"/>
    <w:rPr>
      <w:rFonts w:ascii="Segoe UI" w:hAnsi="Segoe UI" w:cs="Segoe UI"/>
      <w:sz w:val="18"/>
      <w:szCs w:val="18"/>
      <w:lang w:val="en-US" w:eastAsia="en-US"/>
    </w:rPr>
  </w:style>
  <w:style w:type="character" w:customStyle="1" w:styleId="23">
    <w:name w:val="Footer Char"/>
    <w:link w:val="12"/>
    <w:qFormat/>
    <w:uiPriority w:val="99"/>
    <w:rPr>
      <w:sz w:val="22"/>
      <w:szCs w:val="22"/>
      <w:lang w:val="en-US" w:eastAsia="en-US"/>
    </w:rPr>
  </w:style>
  <w:style w:type="character" w:customStyle="1" w:styleId="24">
    <w:name w:val="Subtitle Char"/>
    <w:link w:val="16"/>
    <w:qFormat/>
    <w:uiPriority w:val="11"/>
    <w:rPr>
      <w:rFonts w:ascii="Cambria" w:hAnsi="Cambria" w:eastAsia="Times New Roman" w:cs="Times New Roman"/>
      <w:sz w:val="24"/>
      <w:szCs w:val="24"/>
    </w:rPr>
  </w:style>
  <w:style w:type="character" w:customStyle="1" w:styleId="25">
    <w:name w:val="List Paragraph Char"/>
    <w:link w:val="18"/>
    <w:qFormat/>
    <w:uiPriority w:val="0"/>
    <w:rPr>
      <w:sz w:val="22"/>
      <w:szCs w:val="22"/>
    </w:rPr>
  </w:style>
  <w:style w:type="paragraph" w:customStyle="1" w:styleId="26">
    <w:name w:val="Default"/>
    <w:qFormat/>
    <w:uiPriority w:val="0"/>
    <w:pPr>
      <w:autoSpaceDE w:val="0"/>
      <w:autoSpaceDN w:val="0"/>
      <w:adjustRightInd w:val="0"/>
    </w:pPr>
    <w:rPr>
      <w:rFonts w:ascii="Arial" w:hAnsi="Arial" w:eastAsia="Calibri" w:cs="Arial"/>
      <w:color w:val="000000"/>
      <w:sz w:val="24"/>
      <w:szCs w:val="24"/>
      <w:lang w:val="en-US" w:eastAsia="en-US" w:bidi="ar-SA"/>
    </w:rPr>
  </w:style>
  <w:style w:type="character" w:customStyle="1" w:styleId="27">
    <w:name w:val="Comment Text Char"/>
    <w:basedOn w:val="4"/>
    <w:link w:val="10"/>
    <w:semiHidden/>
    <w:qFormat/>
    <w:uiPriority w:val="99"/>
  </w:style>
  <w:style w:type="character" w:customStyle="1" w:styleId="28">
    <w:name w:val="Comment Subject Char"/>
    <w:basedOn w:val="27"/>
    <w:link w:val="11"/>
    <w:semiHidden/>
    <w:qFormat/>
    <w:uiPriority w:val="99"/>
    <w:rPr>
      <w:b/>
      <w:bCs/>
    </w:rPr>
  </w:style>
  <w:style w:type="character" w:customStyle="1" w:styleId="29">
    <w:name w:val="Body Text Indent Char"/>
    <w:basedOn w:val="4"/>
    <w:link w:val="8"/>
    <w:qFormat/>
    <w:uiPriority w:val="99"/>
    <w:rPr>
      <w:sz w:val="22"/>
      <w:szCs w:val="22"/>
    </w:rPr>
  </w:style>
  <w:style w:type="character" w:customStyle="1" w:styleId="30">
    <w:name w:val="Heading 1 Char"/>
    <w:basedOn w:val="4"/>
    <w:link w:val="2"/>
    <w:qFormat/>
    <w:uiPriority w:val="9"/>
    <w:rPr>
      <w:rFonts w:asciiTheme="majorHAnsi" w:hAnsiTheme="majorHAnsi" w:eastAsiaTheme="majorEastAsia" w:cstheme="majorBidi"/>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4.emf"/><Relationship Id="rId14" Type="http://schemas.openxmlformats.org/officeDocument/2006/relationships/oleObject" Target="embeddings/oleObject4.bin"/><Relationship Id="rId13" Type="http://schemas.openxmlformats.org/officeDocument/2006/relationships/image" Target="media/image3.emf"/><Relationship Id="rId12" Type="http://schemas.openxmlformats.org/officeDocument/2006/relationships/oleObject" Target="embeddings/oleObject3.bin"/><Relationship Id="rId11" Type="http://schemas.openxmlformats.org/officeDocument/2006/relationships/image" Target="media/image2.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552B7-59DB-4146-967B-4EF175E41BD1}">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10</Pages>
  <Words>2296</Words>
  <Characters>13092</Characters>
  <Lines>109</Lines>
  <Paragraphs>30</Paragraphs>
  <TotalTime>0</TotalTime>
  <ScaleCrop>false</ScaleCrop>
  <LinksUpToDate>false</LinksUpToDate>
  <CharactersWithSpaces>15358</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2022-01-26T13:44:00Z</dcterms:created>
  <dc:creator>AU-NS</dc:creator>
  <cp:lastModifiedBy>Lenovo</cp:lastModifiedBy>
  <cp:lastPrinted>2022-12-15T01:24:00Z</cp:lastPrinted>
  <dcterms:modified xsi:type="dcterms:W3CDTF">2022-12-30T09:16:38Z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74516425D6FD4B06BC913B0DE0C1AA08</vt:lpwstr>
  </property>
</Properties>
</file>