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sz w:val="44"/>
          <w:szCs w:val="44"/>
        </w:rPr>
      </w:pPr>
      <w:r w:rsidDel="00000000" w:rsidR="00000000" w:rsidRPr="00000000">
        <w:rPr>
          <w:sz w:val="44"/>
          <w:szCs w:val="44"/>
          <w:rtl w:val="0"/>
        </w:rPr>
        <w:t xml:space="preserve">Product Concept: THEXRA AI Solution Architect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color w:val="333333"/>
          <w:sz w:val="30"/>
          <w:szCs w:val="30"/>
        </w:rPr>
      </w:pPr>
      <w:r w:rsidDel="00000000" w:rsidR="00000000" w:rsidRPr="00000000">
        <w:rPr>
          <w:b w:val="1"/>
          <w:bCs w:val="1"/>
          <w:color w:val="333333"/>
          <w:sz w:val="34"/>
          <w:szCs w:val="34"/>
          <w:rtl w:val="0"/>
        </w:rPr>
        <w:t xml:space="preserve">Target Audience:</w:t>
      </w:r>
      <w:r w:rsidDel="00000000" w:rsidR="00000000" w:rsidRPr="00000000">
        <w:rPr>
          <w:color w:val="333333"/>
          <w:sz w:val="30"/>
          <w:szCs w:val="30"/>
          <w:rtl w:val="0"/>
        </w:rPr>
        <w:t xml:space="preserve"> THEXRA Internal Sales/BD &amp; Strategy Teams | </w:t>
      </w:r>
      <w:r w:rsidDel="00000000" w:rsidR="00000000" w:rsidRPr="00000000">
        <w:rPr>
          <w:b w:val="1"/>
          <w:bCs w:val="1"/>
          <w:color w:val="333333"/>
          <w:sz w:val="34"/>
          <w:szCs w:val="34"/>
          <w:rtl w:val="0"/>
        </w:rPr>
        <w:t xml:space="preserve">Author:</w:t>
      </w:r>
      <w:r w:rsidDel="00000000" w:rsidR="00000000" w:rsidRPr="00000000">
        <w:rPr>
          <w:color w:val="333333"/>
          <w:sz w:val="30"/>
          <w:szCs w:val="30"/>
          <w:rtl w:val="0"/>
        </w:rPr>
        <w:t xml:space="preserve"> Senior Enterprise Tech Strategist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sz w:val="32"/>
          <w:szCs w:val="32"/>
        </w:rPr>
      </w:pPr>
      <w:r w:rsidDel="00000000" w:rsidR="00000000" w:rsidRPr="00000000">
        <w:rPr>
          <w:sz w:val="32"/>
          <w:szCs w:val="32"/>
          <w:rtl w:val="0"/>
        </w:rPr>
        <w:t xml:space="preserve">1. Target User Profiles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User Profile</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Role &amp; Core Focus</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Key Pain Points &amp; Needs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Sales &amp; Business Development (BD) Team</w:t>
            </w:r>
          </w:p>
        </w:tc>
        <w:tc>
          <w:tcPr>
            <w:shd w:fill="auto"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Internal THEXRA team members responsible for intake, preliminary technical scoping, and generating enterprise sales proposals.</w:t>
            </w:r>
          </w:p>
        </w:tc>
        <w:tc>
          <w:tcPr>
            <w:shd w:fill="auto" w:val="clear"/>
            <w:tcMar>
              <w:top w:w="150.0" w:type="dxa"/>
              <w:left w:w="150.0" w:type="dxa"/>
              <w:bottom w:w="150.0" w:type="dxa"/>
              <w:right w:w="150.0" w:type="dxa"/>
            </w:tcMar>
            <w:vAlign w:val="top"/>
          </w:tcPr>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sz w:val="18"/>
                <w:szCs w:val="18"/>
                <w:rtl w:val="0"/>
              </w:rPr>
              <w:t xml:space="preserve">Spends excessive time manually translating raw client requests into complex XR/AI architecture scopes.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sz w:val="18"/>
                <w:szCs w:val="18"/>
                <w:rtl w:val="0"/>
              </w:rPr>
              <w:t xml:space="preserve">Requires fast turnarounds to prevent deal slippage while maintaining enterprise-grade solution accuracy.</w:t>
            </w:r>
          </w:p>
        </w:tc>
      </w:tr>
      <w:tr>
        <w:trPr>
          <w:cantSplit w:val="0"/>
          <w:tblHeader w:val="0"/>
        </w:trPr>
        <w:tc>
          <w:tcPr>
            <w:shd w:fill="f9f9f9"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b w:val="1"/>
                <w:bCs w:val="1"/>
                <w:sz w:val="18"/>
                <w:szCs w:val="18"/>
                <w:shd w:fill="auto" w:val="clear"/>
              </w:rPr>
            </w:pPr>
            <w:r w:rsidDel="00000000" w:rsidR="00000000" w:rsidRPr="00000000">
              <w:rPr>
                <w:b w:val="1"/>
                <w:bCs w:val="1"/>
                <w:sz w:val="18"/>
                <w:szCs w:val="18"/>
                <w:shd w:fill="auto" w:val="clear"/>
                <w:rtl w:val="0"/>
              </w:rPr>
              <w:t xml:space="preserve">Potential Enterprise Clients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External decision-makers (CTOs, Innovation Leads, Operations VPs) seeking AR/VR/MR, AI, or Digital Twin solutions.</w:t>
            </w:r>
          </w:p>
        </w:tc>
        <w:tc>
          <w:tcPr>
            <w:shd w:fill="f9f9f9" w:val="clear"/>
            <w:tcMar>
              <w:top w:w="150.0" w:type="dxa"/>
              <w:left w:w="150.0" w:type="dxa"/>
              <w:bottom w:w="150.0" w:type="dxa"/>
              <w:right w:w="150.0" w:type="dxa"/>
            </w:tcMar>
            <w:vAlign w:val="top"/>
          </w:tcPr>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sz w:val="18"/>
                <w:szCs w:val="18"/>
                <w:shd w:fill="auto" w:val="clear"/>
                <w:rtl w:val="0"/>
              </w:rPr>
              <w:t xml:space="preserve">Struggles to articulate unstructured operational challenges into actionable XR/AI requirements.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sz w:val="18"/>
                <w:szCs w:val="18"/>
                <w:shd w:fill="auto" w:val="clear"/>
                <w:rtl w:val="0"/>
              </w:rPr>
              <w:t xml:space="preserve">Demands rapid clarity on feasibility, integration scope, ROI, and technical roadmaps before committing.</w:t>
            </w:r>
          </w:p>
        </w:tc>
      </w:tr>
    </w:tbl>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sz w:val="18"/>
          <w:szCs w:val="18"/>
          <w:shd w:fill="auto" w:val="clear"/>
        </w:rPr>
      </w:pPr>
      <w:r w:rsidDel="00000000" w:rsidR="00000000" w:rsidRPr="00000000">
        <w:rPr>
          <w:rtl w:val="0"/>
        </w:rPr>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2. Core Business Problem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sz w:val="18"/>
          <w:szCs w:val="18"/>
        </w:rPr>
      </w:pPr>
      <w:r w:rsidDel="00000000" w:rsidR="00000000" w:rsidRPr="00000000">
        <w:rPr>
          <w:sz w:val="18"/>
          <w:szCs w:val="18"/>
          <w:rtl w:val="0"/>
        </w:rPr>
        <w:t xml:space="preserve">Manual proposal writing and technical scoping for Extended Reality (AR/VR/MR), AI, and Digital Twins are currently inefficient due to three structural bottlenecks: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High Domain Complexity &amp; Scoping Friction:</w:t>
      </w:r>
      <w:r w:rsidDel="00000000" w:rsidR="00000000" w:rsidRPr="00000000">
        <w:rPr>
          <w:sz w:val="18"/>
          <w:szCs w:val="18"/>
          <w:rtl w:val="0"/>
        </w:rPr>
        <w:t xml:space="preserve"> Converging spatial computing (XR), generative/predictive AI, and real-time Digital Twin architectures requires specialized cross-disciplinary knowledge. Non-technical sales representatives struggle to scope these multi-layered stacks accurately without pulling senior architects into discovery calls.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Prolonged Sales Cycle &amp; Resource Strain:</w:t>
      </w:r>
      <w:r w:rsidDel="00000000" w:rsidR="00000000" w:rsidRPr="00000000">
        <w:rPr>
          <w:sz w:val="18"/>
          <w:szCs w:val="18"/>
          <w:rtl w:val="0"/>
        </w:rPr>
        <w:t xml:space="preserve"> Engineering and solution architecture teams spend dozens of hours per week manually drafting custom proposals, generating technical diagrams, and estimating project timelines, creating severe operational bandwidth bottlenecks.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Inconsistent Scoping Quality:</w:t>
      </w:r>
      <w:r w:rsidDel="00000000" w:rsidR="00000000" w:rsidRPr="00000000">
        <w:rPr>
          <w:sz w:val="18"/>
          <w:szCs w:val="18"/>
          <w:rtl w:val="0"/>
        </w:rPr>
        <w:t xml:space="preserve"> Manual proposal generation leads to variable quality, mismatched pricing estimates, and inconsistent messaging across different sales reps, increasing risk during delivery phases.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sz w:val="18"/>
          <w:szCs w:val="18"/>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sz w:val="32"/>
          <w:szCs w:val="32"/>
        </w:rPr>
      </w:pPr>
      <w:r w:rsidDel="00000000" w:rsidR="00000000" w:rsidRPr="00000000">
        <w:rPr>
          <w:sz w:val="32"/>
          <w:szCs w:val="32"/>
          <w:rtl w:val="0"/>
        </w:rPr>
        <w:t xml:space="preserve">3. Value Proposition Statement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sz w:val="26"/>
          <w:szCs w:val="26"/>
        </w:rPr>
      </w:pPr>
      <w:r w:rsidDel="00000000" w:rsidR="00000000" w:rsidRPr="00000000">
        <w:rPr>
          <w:sz w:val="26"/>
          <w:szCs w:val="26"/>
          <w:rtl w:val="0"/>
        </w:rPr>
        <w:t xml:space="preserve">THEXRA AI Solution Architect streamlines the enterprise sales lifecycle by converting raw client operational inputs into tailored, high-precision XR, AI, and Digital Twin solution recommendations using Gemini's multimodal reasoning. By deploying automated n8n workflows to orchestrate internal sales documentation and proposal generation, the platform reduces scoping time from days to minutes while standardizing technical rigor across all deals.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sz w:val="30"/>
          <w:szCs w:val="30"/>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32"/>
          <w:szCs w:val="32"/>
          <w:rtl w:val="0"/>
        </w:rPr>
        <w:t xml:space="preserve">4. Key Evaluation KPI for Quick Review</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Evaluation Metric</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Target Goal</w:t>
            </w:r>
          </w:p>
        </w:tc>
        <w:tc>
          <w:tcPr>
            <w:shd w:fill="f2f2f2"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sz w:val="18"/>
                <w:szCs w:val="18"/>
                <w:shd w:fill="auto" w:val="clear"/>
              </w:rPr>
            </w:pPr>
            <w:r w:rsidDel="00000000" w:rsidR="00000000" w:rsidRPr="00000000">
              <w:rPr>
                <w:sz w:val="18"/>
                <w:szCs w:val="18"/>
                <w:shd w:fill="auto" w:val="clear"/>
                <w:rtl w:val="0"/>
              </w:rPr>
              <w:t xml:space="preserve">3-Minute Viability Checklist (Pass/Fail)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sz w:val="18"/>
                <w:szCs w:val="18"/>
              </w:rPr>
            </w:pPr>
            <w:r w:rsidDel="00000000" w:rsidR="00000000" w:rsidRPr="00000000">
              <w:rPr>
                <w:b w:val="1"/>
                <w:bCs w:val="1"/>
                <w:sz w:val="18"/>
                <w:szCs w:val="18"/>
                <w:rtl w:val="0"/>
              </w:rPr>
              <w:t xml:space="preserve">Proposal Velocity &amp; Resource Efficiency Index</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b w:val="1"/>
                <w:bCs w:val="1"/>
                <w:sz w:val="18"/>
                <w:szCs w:val="18"/>
                <w:rtl w:val="0"/>
              </w:rPr>
              <w:t xml:space="preserve">80% Reduction</w:t>
            </w:r>
            <w:r w:rsidDel="00000000" w:rsidR="00000000" w:rsidRPr="00000000">
              <w:rPr>
                <w:sz w:val="18"/>
                <w:szCs w:val="18"/>
                <w:rtl w:val="0"/>
              </w:rPr>
              <w:t xml:space="preserve"> in Proposal Lead Time &amp; </w:t>
            </w:r>
            <w:r w:rsidDel="00000000" w:rsidR="00000000" w:rsidRPr="00000000">
              <w:rPr>
                <w:b w:val="1"/>
                <w:bCs w:val="1"/>
                <w:sz w:val="18"/>
                <w:szCs w:val="18"/>
                <w:rtl w:val="0"/>
              </w:rPr>
              <w:t xml:space="preserve">90% Reduction</w:t>
            </w:r>
            <w:r w:rsidDel="00000000" w:rsidR="00000000" w:rsidRPr="00000000">
              <w:rPr>
                <w:sz w:val="18"/>
                <w:szCs w:val="18"/>
                <w:rtl w:val="0"/>
              </w:rPr>
              <w:t xml:space="preserve"> in Solutions Architect Hours required per lead.</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Input:</w:t>
            </w:r>
            <w:r w:rsidDel="00000000" w:rsidR="00000000" w:rsidRPr="00000000">
              <w:rPr>
                <w:sz w:val="18"/>
                <w:szCs w:val="18"/>
                <w:rtl w:val="0"/>
              </w:rPr>
              <w:t xml:space="preserve"> Does a simple web form ingest raw client operational pain points effectively?</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Analysis:</w:t>
            </w:r>
            <w:r w:rsidDel="00000000" w:rsidR="00000000" w:rsidRPr="00000000">
              <w:rPr>
                <w:sz w:val="18"/>
                <w:szCs w:val="18"/>
                <w:rtl w:val="0"/>
              </w:rPr>
              <w:t xml:space="preserve"> Does Gemini accurately match pain points to optimal XR/AI/Digital Twin tech stacks?</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rPr>
                <w:sz w:val="18"/>
                <w:szCs w:val="18"/>
              </w:rPr>
            </w:pPr>
            <w:r w:rsidDel="00000000" w:rsidR="00000000" w:rsidRPr="00000000">
              <w:rPr>
                <w:b w:val="1"/>
                <w:bCs w:val="1"/>
                <w:sz w:val="18"/>
                <w:szCs w:val="18"/>
                <w:rtl w:val="0"/>
              </w:rPr>
              <w:t xml:space="preserve">Automation:</w:t>
            </w:r>
            <w:r w:rsidDel="00000000" w:rsidR="00000000" w:rsidRPr="00000000">
              <w:rPr>
                <w:sz w:val="18"/>
                <w:szCs w:val="18"/>
                <w:rtl w:val="0"/>
              </w:rPr>
              <w:t xml:space="preserve"> Does n8n output a complete, auto-formatted internal proposal draft within 3 minutes of submission?</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