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40A" w:val="clear"/>
            <w:tcMar>
              <w:top w:type="dxa" w:w="400"/>
              <w:left w:type="dxa" w:w="500"/>
              <w:bottom w:type="dxa" w:w="400"/>
              <w:right w:type="dxa" w:w="500"/>
            </w:tcMar>
          </w:tcPr>
          <w:p>
            <w:pPr>
              <w:spacing w:after="120" w:before="0"/>
              <w:jc w:val="center"/>
            </w:pPr>
            <w:r>
              <w:rPr>
                <w:rFonts w:ascii="Arial" w:cs="Arial" w:eastAsia="Arial" w:hAnsi="Arial"/>
                <w:b/>
                <w:bCs/>
                <w:color w:val="C28A1A"/>
                <w:spacing w:val="600"/>
                <w:sz w:val="64"/>
                <w:szCs w:val="64"/>
              </w:rPr>
              <w:t xml:space="preserve">TRADEOS</w:t>
            </w:r>
          </w:p>
          <w:p>
            <w:pPr>
              <w:spacing w:after="80" w:before="0"/>
              <w:jc w:val="center"/>
            </w:pPr>
            <w:r>
              <w:rPr>
                <w:rFonts w:ascii="Arial" w:cs="Arial" w:eastAsia="Arial" w:hAnsi="Arial"/>
                <w:b w:val="false"/>
                <w:bCs w:val="false"/>
                <w:color w:val="A89060"/>
                <w:spacing w:val="300"/>
                <w:sz w:val="36"/>
                <w:szCs w:val="36"/>
              </w:rPr>
              <w:t xml:space="preserve">Hidden OS</w:t>
            </w:r>
          </w:p>
          <w:p>
            <w:pPr>
              <w:spacing w:after="0" w:before="0"/>
              <w:jc w:val="center"/>
            </w:pPr>
            <w:r>
              <w:rPr>
                <w:rFonts w:ascii="Arial" w:cs="Arial" w:eastAsia="Arial" w:hAnsi="Arial"/>
                <w:color w:val="7A6848"/>
                <w:sz w:val="24"/>
                <w:szCs w:val="24"/>
              </w:rPr>
              <w:t xml:space="preserve">Proprietary Trading Operating System</w:t>
            </w:r>
          </w:p>
        </w:tc>
      </w:tr>
    </w:tbl>
    <w:p>
      <w:pPr>
        <w:spacing w:after="0" w:before="360"/>
      </w:pPr>
    </w:p>
    <w:p>
      <w:pPr>
        <w:spacing w:after="60" w:before="0"/>
        <w:jc w:val="center"/>
      </w:pPr>
      <w:r>
        <w:rPr>
          <w:rFonts w:ascii="Arial" w:cs="Arial" w:eastAsia="Arial" w:hAnsi="Arial"/>
          <w:color w:val="7A6848"/>
          <w:sz w:val="20"/>
          <w:szCs w:val="20"/>
        </w:rPr>
        <w:t xml:space="preserve">Version 1.0  ·  March 2026  ·  Confidential</w:t>
      </w:r>
    </w:p>
    <w:p>
      <w:pPr>
        <w:spacing w:after="0" w:before="0"/>
        <w:jc w:val="center"/>
      </w:pPr>
      <w:r>
        <w:rPr>
          <w:rFonts w:ascii="Arial" w:cs="Arial" w:eastAsia="Arial" w:hAnsi="Arial"/>
          <w:color w:val="7A6848"/>
          <w:sz w:val="20"/>
          <w:szCs w:val="20"/>
        </w:rPr>
        <w:t xml:space="preserve">Single-file progressive web app  ·  Zero backend  ·  All data stored locally</w:t>
      </w:r>
    </w:p>
    <w:p>
      <w:pPr>
        <w:pBdr>
          <w:bottom w:val="single" w:color="DDD5C5" w:sz="4" w:space="1"/>
        </w:pBdr>
        <w:spacing w:after="120" w:before="120"/>
      </w:pPr>
    </w:p>
    <w:p>
      <w:pPr>
        <w:pStyle w:val="Heading1"/>
        <w:pBdr>
          <w:bottom w:val="single" w:color="C28A1A" w:sz="8" w:space="6"/>
        </w:pBdr>
        <w:spacing w:after="120" w:before="320"/>
      </w:pPr>
      <w:r>
        <w:rPr>
          <w:rFonts w:ascii="Arial" w:cs="Arial" w:eastAsia="Arial" w:hAnsi="Arial"/>
          <w:b/>
          <w:bCs/>
          <w:color w:val="8B5E0A"/>
          <w:sz w:val="32"/>
          <w:szCs w:val="32"/>
        </w:rPr>
        <w:t xml:space="preserve">What Is TradeOS</w:t>
      </w:r>
    </w:p>
    <w:p>
      <w:pPr>
        <w:spacing w:after="80" w:before="60"/>
      </w:pPr>
      <w:r>
        <w:rPr>
          <w:rFonts w:ascii="Arial" w:cs="Arial" w:eastAsia="Arial" w:hAnsi="Arial"/>
          <w:b w:val="false"/>
          <w:bCs w:val="false"/>
          <w:i w:val="false"/>
          <w:iCs w:val="false"/>
          <w:color w:val="1A140A"/>
          <w:sz w:val="22"/>
          <w:szCs w:val="22"/>
        </w:rPr>
        <w:t xml:space="preserve">TradeOS is a self-contained, browser-based trading operating system built as a single HTML file. It is designed to run on any device — desktop, tablet, or mobile — with no installation, no server, no login, and no third-party data sharing. Everything saves locally in the browser.</w:t>
      </w:r>
    </w:p>
    <w:p>
      <w:pPr>
        <w:spacing w:after="0" w:before="80"/>
      </w:pPr>
    </w:p>
    <w:p>
      <w:pPr>
        <w:spacing w:after="80" w:before="60"/>
      </w:pPr>
      <w:r>
        <w:rPr>
          <w:rFonts w:ascii="Arial" w:cs="Arial" w:eastAsia="Arial" w:hAnsi="Arial"/>
          <w:b w:val="false"/>
          <w:bCs w:val="false"/>
          <w:i w:val="false"/>
          <w:iCs w:val="false"/>
          <w:color w:val="1A140A"/>
          <w:sz w:val="22"/>
          <w:szCs w:val="22"/>
        </w:rPr>
        <w:t xml:space="preserve">The system combines trade logging, portfolio tracking, analytics, a pre-trade decision framework, macro intelligence, a psychology layer, and a complete knowledge base into one unified interface. It runs as a GitHub Pages site accessible from any browser.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none" w:color="FFFFFF" w:sz="0"/>
              <w:left w:val="none" w:color="FFFFFF" w:sz="0"/>
              <w:bottom w:val="none" w:color="FFFFFF" w:sz="0"/>
              <w:right w:val="none" w:color="FFFFFF" w:sz="0"/>
            </w:tcBorders>
            <w:shd w:fill="F0EBE0" w:val="clear"/>
            <w:tcMar>
              <w:top w:type="dxa" w:w="60"/>
              <w:left w:type="dxa" w:w="100"/>
              <w:bottom w:type="dxa" w:w="60"/>
              <w:right w:type="dxa" w:w="80"/>
            </w:tcMar>
          </w:tcPr>
          <w:p>
            <w:r>
              <w:rPr>
                <w:rFonts w:ascii="Arial" w:cs="Arial" w:eastAsia="Arial" w:hAnsi="Arial"/>
                <w:b/>
                <w:bCs/>
                <w:color w:val="7A6848"/>
                <w:sz w:val="18"/>
                <w:szCs w:val="18"/>
              </w:rPr>
              <w:t xml:space="preserve">File</w:t>
            </w:r>
          </w:p>
        </w:tc>
        <w:tc>
          <w:tcPr>
            <w:tcW w:type="dxa" w:w="7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40A"/>
                <w:sz w:val="20"/>
                <w:szCs w:val="20"/>
              </w:rPr>
              <w:t xml:space="preserve">index.html (single file, self-contained)</w:t>
            </w:r>
          </w:p>
        </w:tc>
      </w:tr>
      <w:tr>
        <w:tc>
          <w:tcPr>
            <w:tcW w:type="dxa" w:w="2400"/>
            <w:tcBorders>
              <w:top w:val="none" w:color="FFFFFF" w:sz="0"/>
              <w:left w:val="none" w:color="FFFFFF" w:sz="0"/>
              <w:bottom w:val="none" w:color="FFFFFF" w:sz="0"/>
              <w:right w:val="none" w:color="FFFFFF" w:sz="0"/>
            </w:tcBorders>
            <w:shd w:fill="F0EBE0" w:val="clear"/>
            <w:tcMar>
              <w:top w:type="dxa" w:w="60"/>
              <w:left w:type="dxa" w:w="100"/>
              <w:bottom w:type="dxa" w:w="60"/>
              <w:right w:type="dxa" w:w="80"/>
            </w:tcMar>
          </w:tcPr>
          <w:p>
            <w:r>
              <w:rPr>
                <w:rFonts w:ascii="Arial" w:cs="Arial" w:eastAsia="Arial" w:hAnsi="Arial"/>
                <w:b/>
                <w:bCs/>
                <w:color w:val="7A6848"/>
                <w:sz w:val="18"/>
                <w:szCs w:val="18"/>
              </w:rPr>
              <w:t xml:space="preserve">Hosting</w:t>
            </w:r>
          </w:p>
        </w:tc>
        <w:tc>
          <w:tcPr>
            <w:tcW w:type="dxa" w:w="7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40A"/>
                <w:sz w:val="20"/>
                <w:szCs w:val="20"/>
              </w:rPr>
              <w:t xml:space="preserve">GitHub Pages — free, zero-cost, always live</w:t>
            </w:r>
          </w:p>
        </w:tc>
      </w:tr>
      <w:tr>
        <w:tc>
          <w:tcPr>
            <w:tcW w:type="dxa" w:w="2400"/>
            <w:tcBorders>
              <w:top w:val="none" w:color="FFFFFF" w:sz="0"/>
              <w:left w:val="none" w:color="FFFFFF" w:sz="0"/>
              <w:bottom w:val="none" w:color="FFFFFF" w:sz="0"/>
              <w:right w:val="none" w:color="FFFFFF" w:sz="0"/>
            </w:tcBorders>
            <w:shd w:fill="F0EBE0" w:val="clear"/>
            <w:tcMar>
              <w:top w:type="dxa" w:w="60"/>
              <w:left w:type="dxa" w:w="100"/>
              <w:bottom w:type="dxa" w:w="60"/>
              <w:right w:type="dxa" w:w="80"/>
            </w:tcMar>
          </w:tcPr>
          <w:p>
            <w:r>
              <w:rPr>
                <w:rFonts w:ascii="Arial" w:cs="Arial" w:eastAsia="Arial" w:hAnsi="Arial"/>
                <w:b/>
                <w:bCs/>
                <w:color w:val="7A6848"/>
                <w:sz w:val="18"/>
                <w:szCs w:val="18"/>
              </w:rPr>
              <w:t xml:space="preserve">Storage</w:t>
            </w:r>
          </w:p>
        </w:tc>
        <w:tc>
          <w:tcPr>
            <w:tcW w:type="dxa" w:w="7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40A"/>
                <w:sz w:val="20"/>
                <w:szCs w:val="20"/>
              </w:rPr>
              <w:t xml:space="preserve">Browser localStorage — private, no cloud sync</w:t>
            </w:r>
          </w:p>
        </w:tc>
      </w:tr>
      <w:tr>
        <w:tc>
          <w:tcPr>
            <w:tcW w:type="dxa" w:w="2400"/>
            <w:tcBorders>
              <w:top w:val="none" w:color="FFFFFF" w:sz="0"/>
              <w:left w:val="none" w:color="FFFFFF" w:sz="0"/>
              <w:bottom w:val="none" w:color="FFFFFF" w:sz="0"/>
              <w:right w:val="none" w:color="FFFFFF" w:sz="0"/>
            </w:tcBorders>
            <w:shd w:fill="F0EBE0" w:val="clear"/>
            <w:tcMar>
              <w:top w:type="dxa" w:w="60"/>
              <w:left w:type="dxa" w:w="100"/>
              <w:bottom w:type="dxa" w:w="60"/>
              <w:right w:type="dxa" w:w="80"/>
            </w:tcMar>
          </w:tcPr>
          <w:p>
            <w:r>
              <w:rPr>
                <w:rFonts w:ascii="Arial" w:cs="Arial" w:eastAsia="Arial" w:hAnsi="Arial"/>
                <w:b/>
                <w:bCs/>
                <w:color w:val="7A6848"/>
                <w:sz w:val="18"/>
                <w:szCs w:val="18"/>
              </w:rPr>
              <w:t xml:space="preserve">Size</w:t>
            </w:r>
          </w:p>
        </w:tc>
        <w:tc>
          <w:tcPr>
            <w:tcW w:type="dxa" w:w="7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40A"/>
                <w:sz w:val="20"/>
                <w:szCs w:val="20"/>
              </w:rPr>
              <w:t xml:space="preserve">~4,200 lines HTML/CSS/JS — no build step required</w:t>
            </w:r>
          </w:p>
        </w:tc>
      </w:tr>
      <w:tr>
        <w:tc>
          <w:tcPr>
            <w:tcW w:type="dxa" w:w="2400"/>
            <w:tcBorders>
              <w:top w:val="none" w:color="FFFFFF" w:sz="0"/>
              <w:left w:val="none" w:color="FFFFFF" w:sz="0"/>
              <w:bottom w:val="none" w:color="FFFFFF" w:sz="0"/>
              <w:right w:val="none" w:color="FFFFFF" w:sz="0"/>
            </w:tcBorders>
            <w:shd w:fill="F0EBE0" w:val="clear"/>
            <w:tcMar>
              <w:top w:type="dxa" w:w="60"/>
              <w:left w:type="dxa" w:w="100"/>
              <w:bottom w:type="dxa" w:w="60"/>
              <w:right w:type="dxa" w:w="80"/>
            </w:tcMar>
          </w:tcPr>
          <w:p>
            <w:r>
              <w:rPr>
                <w:rFonts w:ascii="Arial" w:cs="Arial" w:eastAsia="Arial" w:hAnsi="Arial"/>
                <w:b/>
                <w:bCs/>
                <w:color w:val="7A6848"/>
                <w:sz w:val="18"/>
                <w:szCs w:val="18"/>
              </w:rPr>
              <w:t xml:space="preserve">Fonts</w:t>
            </w:r>
          </w:p>
        </w:tc>
        <w:tc>
          <w:tcPr>
            <w:tcW w:type="dxa" w:w="7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40A"/>
                <w:sz w:val="20"/>
                <w:szCs w:val="20"/>
              </w:rPr>
              <w:t xml:space="preserve">Space Mono (headers) + IBM Plex Sans (body) via Google Fonts</w:t>
            </w:r>
          </w:p>
        </w:tc>
      </w:tr>
      <w:tr>
        <w:tc>
          <w:tcPr>
            <w:tcW w:type="dxa" w:w="2400"/>
            <w:tcBorders>
              <w:top w:val="none" w:color="FFFFFF" w:sz="0"/>
              <w:left w:val="none" w:color="FFFFFF" w:sz="0"/>
              <w:bottom w:val="none" w:color="FFFFFF" w:sz="0"/>
              <w:right w:val="none" w:color="FFFFFF" w:sz="0"/>
            </w:tcBorders>
            <w:shd w:fill="F0EBE0" w:val="clear"/>
            <w:tcMar>
              <w:top w:type="dxa" w:w="60"/>
              <w:left w:type="dxa" w:w="100"/>
              <w:bottom w:type="dxa" w:w="60"/>
              <w:right w:type="dxa" w:w="80"/>
            </w:tcMar>
          </w:tcPr>
          <w:p>
            <w:r>
              <w:rPr>
                <w:rFonts w:ascii="Arial" w:cs="Arial" w:eastAsia="Arial" w:hAnsi="Arial"/>
                <w:b/>
                <w:bCs/>
                <w:color w:val="7A6848"/>
                <w:sz w:val="18"/>
                <w:szCs w:val="18"/>
              </w:rPr>
              <w:t xml:space="preserve">Charts</w:t>
            </w:r>
          </w:p>
        </w:tc>
        <w:tc>
          <w:tcPr>
            <w:tcW w:type="dxa" w:w="7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40A"/>
                <w:sz w:val="20"/>
                <w:szCs w:val="20"/>
              </w:rPr>
              <w:t xml:space="preserve">Chart.js 4.4.0 — only external dependency</w:t>
            </w:r>
          </w:p>
        </w:tc>
      </w:tr>
      <w:tr>
        <w:tc>
          <w:tcPr>
            <w:tcW w:type="dxa" w:w="2400"/>
            <w:tcBorders>
              <w:top w:val="none" w:color="FFFFFF" w:sz="0"/>
              <w:left w:val="none" w:color="FFFFFF" w:sz="0"/>
              <w:bottom w:val="none" w:color="FFFFFF" w:sz="0"/>
              <w:right w:val="none" w:color="FFFFFF" w:sz="0"/>
            </w:tcBorders>
            <w:shd w:fill="F0EBE0" w:val="clear"/>
            <w:tcMar>
              <w:top w:type="dxa" w:w="60"/>
              <w:left w:type="dxa" w:w="100"/>
              <w:bottom w:type="dxa" w:w="60"/>
              <w:right w:type="dxa" w:w="80"/>
            </w:tcMar>
          </w:tcPr>
          <w:p>
            <w:r>
              <w:rPr>
                <w:rFonts w:ascii="Arial" w:cs="Arial" w:eastAsia="Arial" w:hAnsi="Arial"/>
                <w:b/>
                <w:bCs/>
                <w:color w:val="7A6848"/>
                <w:sz w:val="18"/>
                <w:szCs w:val="18"/>
              </w:rPr>
              <w:t xml:space="preserve">Theme</w:t>
            </w:r>
          </w:p>
        </w:tc>
        <w:tc>
          <w:tcPr>
            <w:tcW w:type="dxa" w:w="7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40A"/>
                <w:sz w:val="20"/>
                <w:szCs w:val="20"/>
              </w:rPr>
              <w:t xml:space="preserve">Warm amber palette — light and dark mode supported</w:t>
            </w:r>
          </w:p>
        </w:tc>
      </w:tr>
    </w:tbl>
    <w:p>
      <w:pPr>
        <w:pBdr>
          <w:bottom w:val="single" w:color="DDD5C5" w:sz="4" w:space="1"/>
        </w:pBdr>
        <w:spacing w:after="120" w:before="120"/>
      </w:pPr>
    </w:p>
    <w:p>
      <w:pPr>
        <w:pStyle w:val="Heading1"/>
        <w:pBdr>
          <w:bottom w:val="single" w:color="C28A1A" w:sz="8" w:space="6"/>
        </w:pBdr>
        <w:spacing w:after="120" w:before="320"/>
      </w:pPr>
      <w:r>
        <w:rPr>
          <w:rFonts w:ascii="Arial" w:cs="Arial" w:eastAsia="Arial" w:hAnsi="Arial"/>
          <w:b/>
          <w:bCs/>
          <w:color w:val="8B5E0A"/>
          <w:sz w:val="32"/>
          <w:szCs w:val="32"/>
        </w:rPr>
        <w:t xml:space="preserve">Navigation Structure</w:t>
      </w:r>
    </w:p>
    <w:p>
      <w:pPr>
        <w:spacing w:after="80" w:before="60"/>
      </w:pPr>
      <w:r>
        <w:rPr>
          <w:rFonts w:ascii="Arial" w:cs="Arial" w:eastAsia="Arial" w:hAnsi="Arial"/>
          <w:b w:val="false"/>
          <w:bCs w:val="false"/>
          <w:i w:val="false"/>
          <w:iCs w:val="false"/>
          <w:color w:val="1A140A"/>
          <w:sz w:val="22"/>
          <w:szCs w:val="22"/>
        </w:rPr>
        <w:t xml:space="preserve">TradeOS uses a top navigation bar on desktop and a bottom navigation bar on mobile. There are five primary tabs, two of which contain sub-tabs.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DDD5C5" w:sz="1"/>
              <w:left w:val="single" w:color="DDD5C5" w:sz="1"/>
              <w:bottom w:val="single" w:color="DDD5C5" w:sz="1"/>
              <w:right w:val="single" w:color="DDD5C5" w:sz="1"/>
            </w:tcBorders>
            <w:shd w:fill="E8E1D4" w:val="clear"/>
            <w:tcMar>
              <w:top w:type="dxa" w:w="80"/>
              <w:left w:type="dxa" w:w="120"/>
              <w:bottom w:type="dxa" w:w="80"/>
              <w:right w:type="dxa" w:w="80"/>
            </w:tcMar>
          </w:tcPr>
          <w:p>
            <w:r>
              <w:rPr>
                <w:rFonts w:ascii="Arial" w:cs="Arial" w:eastAsia="Arial" w:hAnsi="Arial"/>
                <w:b/>
                <w:bCs/>
                <w:color w:val="8B5E0A"/>
                <w:sz w:val="18"/>
                <w:szCs w:val="18"/>
              </w:rPr>
              <w:t xml:space="preserve">TAB</w:t>
            </w:r>
          </w:p>
        </w:tc>
        <w:tc>
          <w:tcPr>
            <w:tcW w:type="dxa" w:w="2800"/>
            <w:tcBorders>
              <w:top w:val="single" w:color="DDD5C5" w:sz="1"/>
              <w:left w:val="single" w:color="DDD5C5" w:sz="1"/>
              <w:bottom w:val="single" w:color="DDD5C5" w:sz="1"/>
              <w:right w:val="single" w:color="DDD5C5" w:sz="1"/>
            </w:tcBorders>
            <w:shd w:fill="E8E1D4" w:val="clear"/>
            <w:tcMar>
              <w:top w:type="dxa" w:w="80"/>
              <w:left w:type="dxa" w:w="120"/>
              <w:bottom w:type="dxa" w:w="80"/>
              <w:right w:type="dxa" w:w="80"/>
            </w:tcMar>
          </w:tcPr>
          <w:p>
            <w:r>
              <w:rPr>
                <w:rFonts w:ascii="Arial" w:cs="Arial" w:eastAsia="Arial" w:hAnsi="Arial"/>
                <w:b/>
                <w:bCs/>
                <w:color w:val="8B5E0A"/>
                <w:sz w:val="18"/>
                <w:szCs w:val="18"/>
              </w:rPr>
              <w:t xml:space="preserve">NAME</w:t>
            </w:r>
          </w:p>
        </w:tc>
        <w:tc>
          <w:tcPr>
            <w:tcW w:type="dxa" w:w="4760"/>
            <w:tcBorders>
              <w:top w:val="single" w:color="DDD5C5" w:sz="1"/>
              <w:left w:val="single" w:color="DDD5C5" w:sz="1"/>
              <w:bottom w:val="single" w:color="DDD5C5" w:sz="1"/>
              <w:right w:val="single" w:color="DDD5C5" w:sz="1"/>
            </w:tcBorders>
            <w:shd w:fill="E8E1D4" w:val="clear"/>
            <w:tcMar>
              <w:top w:type="dxa" w:w="80"/>
              <w:left w:type="dxa" w:w="120"/>
              <w:bottom w:type="dxa" w:w="80"/>
              <w:right w:type="dxa" w:w="120"/>
            </w:tcMar>
          </w:tcPr>
          <w:p>
            <w:r>
              <w:rPr>
                <w:rFonts w:ascii="Arial" w:cs="Arial" w:eastAsia="Arial" w:hAnsi="Arial"/>
                <w:b/>
                <w:bCs/>
                <w:color w:val="8B5E0A"/>
                <w:sz w:val="18"/>
                <w:szCs w:val="18"/>
              </w:rPr>
              <w:t xml:space="preserve">WHAT IT DOES</w:t>
            </w:r>
          </w:p>
        </w:tc>
      </w:tr>
      <w:tr>
        <w:tc>
          <w:tcPr>
            <w:tcW w:type="dxa" w:w="1800"/>
            <w:tcBorders>
              <w:top w:val="single" w:color="DDD5C5" w:sz="1"/>
              <w:left w:val="single" w:color="DDD5C5" w:sz="1"/>
              <w:bottom w:val="single" w:color="DDD5C5" w:sz="1"/>
              <w:right w:val="single" w:color="DDD5C5" w:sz="1"/>
            </w:tcBorders>
            <w:tcMar>
              <w:top w:type="dxa" w:w="60"/>
              <w:left w:type="dxa" w:w="120"/>
              <w:bottom w:type="dxa" w:w="60"/>
              <w:right w:type="dxa" w:w="80"/>
            </w:tcMar>
          </w:tcPr>
          <w:p>
            <w:r>
              <w:rPr>
                <w:rFonts w:ascii="Arial" w:cs="Arial" w:eastAsia="Arial" w:hAnsi="Arial"/>
                <w:b/>
                <w:bCs/>
                <w:color w:val="C28A1A"/>
                <w:sz w:val="20"/>
                <w:szCs w:val="20"/>
              </w:rPr>
              <w:t xml:space="preserve">DASH</w:t>
            </w:r>
          </w:p>
        </w:tc>
        <w:tc>
          <w:tcPr>
            <w:tcW w:type="dxa" w:w="2800"/>
            <w:tcBorders>
              <w:top w:val="single" w:color="DDD5C5" w:sz="1"/>
              <w:left w:val="single" w:color="DDD5C5" w:sz="1"/>
              <w:bottom w:val="single" w:color="DDD5C5" w:sz="1"/>
              <w:right w:val="single" w:color="DDD5C5" w:sz="1"/>
            </w:tcBorders>
            <w:tcMar>
              <w:top w:type="dxa" w:w="60"/>
              <w:left w:type="dxa" w:w="120"/>
              <w:bottom w:type="dxa" w:w="60"/>
              <w:right w:type="dxa" w:w="80"/>
            </w:tcMar>
          </w:tcPr>
          <w:p>
            <w:r>
              <w:rPr>
                <w:rFonts w:ascii="Arial" w:cs="Arial" w:eastAsia="Arial" w:hAnsi="Arial"/>
                <w:color w:val="1A140A"/>
                <w:sz w:val="20"/>
                <w:szCs w:val="20"/>
              </w:rPr>
              <w:t xml:space="preserve">Dashboard</w:t>
            </w:r>
          </w:p>
        </w:tc>
        <w:tc>
          <w:tcPr>
            <w:tcW w:type="dxa" w:w="4760"/>
            <w:tcBorders>
              <w:top w:val="single" w:color="DDD5C5" w:sz="1"/>
              <w:left w:val="single" w:color="DDD5C5" w:sz="1"/>
              <w:bottom w:val="single" w:color="DDD5C5" w:sz="1"/>
              <w:right w:val="single" w:color="DDD5C5" w:sz="1"/>
            </w:tcBorders>
            <w:tcMar>
              <w:top w:type="dxa" w:w="60"/>
              <w:left w:type="dxa" w:w="120"/>
              <w:bottom w:type="dxa" w:w="60"/>
              <w:right w:type="dxa" w:w="120"/>
            </w:tcMar>
          </w:tcPr>
          <w:p>
            <w:r>
              <w:rPr>
                <w:rFonts w:ascii="Arial" w:cs="Arial" w:eastAsia="Arial" w:hAnsi="Arial"/>
                <w:color w:val="7A6848"/>
                <w:sz w:val="20"/>
                <w:szCs w:val="20"/>
              </w:rPr>
              <w:t xml:space="preserve">Daily session plan, bias, pre-trade checklist, emotional state, quick notes, recent trades, macro snapshot</w:t>
            </w:r>
          </w:p>
        </w:tc>
      </w:tr>
      <w:tr>
        <w:tc>
          <w:tcPr>
            <w:tcW w:type="dxa" w:w="1800"/>
            <w:tcBorders>
              <w:top w:val="single" w:color="DDD5C5" w:sz="1"/>
              <w:left w:val="single" w:color="DDD5C5" w:sz="1"/>
              <w:bottom w:val="single" w:color="DDD5C5" w:sz="1"/>
              <w:right w:val="single" w:color="DDD5C5" w:sz="1"/>
            </w:tcBorders>
            <w:tcMar>
              <w:top w:type="dxa" w:w="60"/>
              <w:left w:type="dxa" w:w="120"/>
              <w:bottom w:type="dxa" w:w="60"/>
              <w:right w:type="dxa" w:w="80"/>
            </w:tcMar>
          </w:tcPr>
          <w:p>
            <w:r>
              <w:rPr>
                <w:rFonts w:ascii="Arial" w:cs="Arial" w:eastAsia="Arial" w:hAnsi="Arial"/>
                <w:b/>
                <w:bCs/>
                <w:color w:val="C28A1A"/>
                <w:sz w:val="20"/>
                <w:szCs w:val="20"/>
              </w:rPr>
              <w:t xml:space="preserve">TRADE</w:t>
            </w:r>
          </w:p>
        </w:tc>
        <w:tc>
          <w:tcPr>
            <w:tcW w:type="dxa" w:w="2800"/>
            <w:tcBorders>
              <w:top w:val="single" w:color="DDD5C5" w:sz="1"/>
              <w:left w:val="single" w:color="DDD5C5" w:sz="1"/>
              <w:bottom w:val="single" w:color="DDD5C5" w:sz="1"/>
              <w:right w:val="single" w:color="DDD5C5" w:sz="1"/>
            </w:tcBorders>
            <w:tcMar>
              <w:top w:type="dxa" w:w="60"/>
              <w:left w:type="dxa" w:w="120"/>
              <w:bottom w:type="dxa" w:w="60"/>
              <w:right w:type="dxa" w:w="80"/>
            </w:tcMar>
          </w:tcPr>
          <w:p>
            <w:r>
              <w:rPr>
                <w:rFonts w:ascii="Arial" w:cs="Arial" w:eastAsia="Arial" w:hAnsi="Arial"/>
                <w:color w:val="1A140A"/>
                <w:sz w:val="20"/>
                <w:szCs w:val="20"/>
              </w:rPr>
              <w:t xml:space="preserve">Log Trade</w:t>
            </w:r>
          </w:p>
        </w:tc>
        <w:tc>
          <w:tcPr>
            <w:tcW w:type="dxa" w:w="4760"/>
            <w:tcBorders>
              <w:top w:val="single" w:color="DDD5C5" w:sz="1"/>
              <w:left w:val="single" w:color="DDD5C5" w:sz="1"/>
              <w:bottom w:val="single" w:color="DDD5C5" w:sz="1"/>
              <w:right w:val="single" w:color="DDD5C5" w:sz="1"/>
            </w:tcBorders>
            <w:tcMar>
              <w:top w:type="dxa" w:w="60"/>
              <w:left w:type="dxa" w:w="120"/>
              <w:bottom w:type="dxa" w:w="60"/>
              <w:right w:type="dxa" w:w="120"/>
            </w:tcMar>
          </w:tcPr>
          <w:p>
            <w:r>
              <w:rPr>
                <w:rFonts w:ascii="Arial" w:cs="Arial" w:eastAsia="Arial" w:hAnsi="Arial"/>
                <w:color w:val="7A6848"/>
                <w:sz w:val="20"/>
                <w:szCs w:val="20"/>
              </w:rPr>
              <w:t xml:space="preserve">New trade entry form with RR calculator, setup selector, HTF/LTF alignment fields, photo upload, and trade checklist</w:t>
            </w:r>
          </w:p>
        </w:tc>
      </w:tr>
      <w:tr>
        <w:tc>
          <w:tcPr>
            <w:tcW w:type="dxa" w:w="1800"/>
            <w:tcBorders>
              <w:top w:val="single" w:color="DDD5C5" w:sz="1"/>
              <w:left w:val="single" w:color="DDD5C5" w:sz="1"/>
              <w:bottom w:val="single" w:color="DDD5C5" w:sz="1"/>
              <w:right w:val="single" w:color="DDD5C5" w:sz="1"/>
            </w:tcBorders>
            <w:tcMar>
              <w:top w:type="dxa" w:w="60"/>
              <w:left w:type="dxa" w:w="120"/>
              <w:bottom w:type="dxa" w:w="60"/>
              <w:right w:type="dxa" w:w="80"/>
            </w:tcMar>
          </w:tcPr>
          <w:p>
            <w:r>
              <w:rPr>
                <w:rFonts w:ascii="Arial" w:cs="Arial" w:eastAsia="Arial" w:hAnsi="Arial"/>
                <w:b/>
                <w:bCs/>
                <w:color w:val="C28A1A"/>
                <w:sz w:val="20"/>
                <w:szCs w:val="20"/>
              </w:rPr>
              <w:t xml:space="preserve">TRACK</w:t>
            </w:r>
          </w:p>
        </w:tc>
        <w:tc>
          <w:tcPr>
            <w:tcW w:type="dxa" w:w="2800"/>
            <w:tcBorders>
              <w:top w:val="single" w:color="DDD5C5" w:sz="1"/>
              <w:left w:val="single" w:color="DDD5C5" w:sz="1"/>
              <w:bottom w:val="single" w:color="DDD5C5" w:sz="1"/>
              <w:right w:val="single" w:color="DDD5C5" w:sz="1"/>
            </w:tcBorders>
            <w:tcMar>
              <w:top w:type="dxa" w:w="60"/>
              <w:left w:type="dxa" w:w="120"/>
              <w:bottom w:type="dxa" w:w="60"/>
              <w:right w:type="dxa" w:w="80"/>
            </w:tcMar>
          </w:tcPr>
          <w:p>
            <w:r>
              <w:rPr>
                <w:rFonts w:ascii="Arial" w:cs="Arial" w:eastAsia="Arial" w:hAnsi="Arial"/>
                <w:color w:val="1A140A"/>
                <w:sz w:val="20"/>
                <w:szCs w:val="20"/>
              </w:rPr>
              <w:t xml:space="preserve">Track → Portfolio / Calendar / Analytics</w:t>
            </w:r>
          </w:p>
        </w:tc>
        <w:tc>
          <w:tcPr>
            <w:tcW w:type="dxa" w:w="4760"/>
            <w:tcBorders>
              <w:top w:val="single" w:color="DDD5C5" w:sz="1"/>
              <w:left w:val="single" w:color="DDD5C5" w:sz="1"/>
              <w:bottom w:val="single" w:color="DDD5C5" w:sz="1"/>
              <w:right w:val="single" w:color="DDD5C5" w:sz="1"/>
            </w:tcBorders>
            <w:tcMar>
              <w:top w:type="dxa" w:w="60"/>
              <w:left w:type="dxa" w:w="120"/>
              <w:bottom w:type="dxa" w:w="60"/>
              <w:right w:type="dxa" w:w="120"/>
            </w:tcMar>
          </w:tcPr>
          <w:p>
            <w:r>
              <w:rPr>
                <w:rFonts w:ascii="Arial" w:cs="Arial" w:eastAsia="Arial" w:hAnsi="Arial"/>
                <w:color w:val="7A6848"/>
                <w:sz w:val="20"/>
                <w:szCs w:val="20"/>
              </w:rPr>
              <w:t xml:space="preserve">Three sub-tabs: Portfolio overview across all accounts, monthly P&amp;L calendar, and full analytics with charts</w:t>
            </w:r>
          </w:p>
        </w:tc>
      </w:tr>
      <w:tr>
        <w:tc>
          <w:tcPr>
            <w:tcW w:type="dxa" w:w="1800"/>
            <w:tcBorders>
              <w:top w:val="single" w:color="DDD5C5" w:sz="1"/>
              <w:left w:val="single" w:color="DDD5C5" w:sz="1"/>
              <w:bottom w:val="single" w:color="DDD5C5" w:sz="1"/>
              <w:right w:val="single" w:color="DDD5C5" w:sz="1"/>
            </w:tcBorders>
            <w:tcMar>
              <w:top w:type="dxa" w:w="60"/>
              <w:left w:type="dxa" w:w="120"/>
              <w:bottom w:type="dxa" w:w="60"/>
              <w:right w:type="dxa" w:w="80"/>
            </w:tcMar>
          </w:tcPr>
          <w:p>
            <w:r>
              <w:rPr>
                <w:rFonts w:ascii="Arial" w:cs="Arial" w:eastAsia="Arial" w:hAnsi="Arial"/>
                <w:b/>
                <w:bCs/>
                <w:color w:val="C28A1A"/>
                <w:sz w:val="20"/>
                <w:szCs w:val="20"/>
              </w:rPr>
              <w:t xml:space="preserve">LOG</w:t>
            </w:r>
          </w:p>
        </w:tc>
        <w:tc>
          <w:tcPr>
            <w:tcW w:type="dxa" w:w="2800"/>
            <w:tcBorders>
              <w:top w:val="single" w:color="DDD5C5" w:sz="1"/>
              <w:left w:val="single" w:color="DDD5C5" w:sz="1"/>
              <w:bottom w:val="single" w:color="DDD5C5" w:sz="1"/>
              <w:right w:val="single" w:color="DDD5C5" w:sz="1"/>
            </w:tcBorders>
            <w:tcMar>
              <w:top w:type="dxa" w:w="60"/>
              <w:left w:type="dxa" w:w="120"/>
              <w:bottom w:type="dxa" w:w="60"/>
              <w:right w:type="dxa" w:w="80"/>
            </w:tcMar>
          </w:tcPr>
          <w:p>
            <w:r>
              <w:rPr>
                <w:rFonts w:ascii="Arial" w:cs="Arial" w:eastAsia="Arial" w:hAnsi="Arial"/>
                <w:color w:val="1A140A"/>
                <w:sz w:val="20"/>
                <w:szCs w:val="20"/>
              </w:rPr>
              <w:t xml:space="preserve">Log → Daily / Journal / Macro</w:t>
            </w:r>
          </w:p>
        </w:tc>
        <w:tc>
          <w:tcPr>
            <w:tcW w:type="dxa" w:w="4760"/>
            <w:tcBorders>
              <w:top w:val="single" w:color="DDD5C5" w:sz="1"/>
              <w:left w:val="single" w:color="DDD5C5" w:sz="1"/>
              <w:bottom w:val="single" w:color="DDD5C5" w:sz="1"/>
              <w:right w:val="single" w:color="DDD5C5" w:sz="1"/>
            </w:tcBorders>
            <w:tcMar>
              <w:top w:type="dxa" w:w="60"/>
              <w:left w:type="dxa" w:w="120"/>
              <w:bottom w:type="dxa" w:w="60"/>
              <w:right w:type="dxa" w:w="120"/>
            </w:tcMar>
          </w:tcPr>
          <w:p>
            <w:r>
              <w:rPr>
                <w:rFonts w:ascii="Arial" w:cs="Arial" w:eastAsia="Arial" w:hAnsi="Arial"/>
                <w:color w:val="7A6848"/>
                <w:sz w:val="20"/>
                <w:szCs w:val="20"/>
              </w:rPr>
              <w:t xml:space="preserve">Three sub-tabs: Daily log with checklist and game plan, freeform journal entries, macro setup form for session context</w:t>
            </w:r>
          </w:p>
        </w:tc>
      </w:tr>
      <w:tr>
        <w:tc>
          <w:tcPr>
            <w:tcW w:type="dxa" w:w="1800"/>
            <w:tcBorders>
              <w:top w:val="single" w:color="DDD5C5" w:sz="1"/>
              <w:left w:val="single" w:color="DDD5C5" w:sz="1"/>
              <w:bottom w:val="single" w:color="DDD5C5" w:sz="1"/>
              <w:right w:val="single" w:color="DDD5C5" w:sz="1"/>
            </w:tcBorders>
            <w:tcMar>
              <w:top w:type="dxa" w:w="60"/>
              <w:left w:type="dxa" w:w="120"/>
              <w:bottom w:type="dxa" w:w="60"/>
              <w:right w:type="dxa" w:w="80"/>
            </w:tcMar>
          </w:tcPr>
          <w:p>
            <w:r>
              <w:rPr>
                <w:rFonts w:ascii="Arial" w:cs="Arial" w:eastAsia="Arial" w:hAnsi="Arial"/>
                <w:b/>
                <w:bCs/>
                <w:color w:val="C28A1A"/>
                <w:sz w:val="20"/>
                <w:szCs w:val="20"/>
              </w:rPr>
              <w:t xml:space="preserve">KB</w:t>
            </w:r>
          </w:p>
        </w:tc>
        <w:tc>
          <w:tcPr>
            <w:tcW w:type="dxa" w:w="2800"/>
            <w:tcBorders>
              <w:top w:val="single" w:color="DDD5C5" w:sz="1"/>
              <w:left w:val="single" w:color="DDD5C5" w:sz="1"/>
              <w:bottom w:val="single" w:color="DDD5C5" w:sz="1"/>
              <w:right w:val="single" w:color="DDD5C5" w:sz="1"/>
            </w:tcBorders>
            <w:tcMar>
              <w:top w:type="dxa" w:w="60"/>
              <w:left w:type="dxa" w:w="120"/>
              <w:bottom w:type="dxa" w:w="60"/>
              <w:right w:type="dxa" w:w="80"/>
            </w:tcMar>
          </w:tcPr>
          <w:p>
            <w:r>
              <w:rPr>
                <w:rFonts w:ascii="Arial" w:cs="Arial" w:eastAsia="Arial" w:hAnsi="Arial"/>
                <w:color w:val="1A140A"/>
                <w:sz w:val="20"/>
                <w:szCs w:val="20"/>
              </w:rPr>
              <w:t xml:space="preserve">Knowledge Base</w:t>
            </w:r>
          </w:p>
        </w:tc>
        <w:tc>
          <w:tcPr>
            <w:tcW w:type="dxa" w:w="4760"/>
            <w:tcBorders>
              <w:top w:val="single" w:color="DDD5C5" w:sz="1"/>
              <w:left w:val="single" w:color="DDD5C5" w:sz="1"/>
              <w:bottom w:val="single" w:color="DDD5C5" w:sz="1"/>
              <w:right w:val="single" w:color="DDD5C5" w:sz="1"/>
            </w:tcBorders>
            <w:tcMar>
              <w:top w:type="dxa" w:w="60"/>
              <w:left w:type="dxa" w:w="120"/>
              <w:bottom w:type="dxa" w:w="60"/>
              <w:right w:type="dxa" w:w="120"/>
            </w:tcMar>
          </w:tcPr>
          <w:p>
            <w:r>
              <w:rPr>
                <w:rFonts w:ascii="Arial" w:cs="Arial" w:eastAsia="Arial" w:hAnsi="Arial"/>
                <w:color w:val="7A6848"/>
                <w:sz w:val="20"/>
                <w:szCs w:val="20"/>
              </w:rPr>
              <w:t xml:space="preserve">Full HiddenOS trading system reference, Robert Greene Daily Laws (366 entries), and macro event guide</w:t>
            </w:r>
          </w:p>
        </w:tc>
      </w:tr>
    </w:tbl>
    <w:p>
      <w:pPr>
        <w:pBdr>
          <w:bottom w:val="single" w:color="DDD5C5" w:sz="4" w:space="1"/>
        </w:pBdr>
        <w:spacing w:after="120" w:before="120"/>
      </w:pPr>
    </w:p>
    <w:p>
      <w:pPr>
        <w:pStyle w:val="Heading1"/>
        <w:pBdr>
          <w:bottom w:val="single" w:color="C28A1A" w:sz="8" w:space="6"/>
        </w:pBdr>
        <w:spacing w:after="120" w:before="320"/>
      </w:pPr>
      <w:r>
        <w:rPr>
          <w:rFonts w:ascii="Arial" w:cs="Arial" w:eastAsia="Arial" w:hAnsi="Arial"/>
          <w:b/>
          <w:bCs/>
          <w:color w:val="8B5E0A"/>
          <w:sz w:val="32"/>
          <w:szCs w:val="32"/>
        </w:rPr>
        <w:t xml:space="preserve">Multi-Account System</w:t>
      </w:r>
    </w:p>
    <w:p>
      <w:pPr>
        <w:spacing w:after="80" w:before="60"/>
      </w:pPr>
      <w:r>
        <w:rPr>
          <w:rFonts w:ascii="Arial" w:cs="Arial" w:eastAsia="Arial" w:hAnsi="Arial"/>
          <w:b w:val="false"/>
          <w:bCs w:val="false"/>
          <w:i w:val="false"/>
          <w:iCs w:val="false"/>
          <w:color w:val="1A140A"/>
          <w:sz w:val="22"/>
          <w:szCs w:val="22"/>
        </w:rPr>
        <w:t xml:space="preserve">TradeOS supports multiple funded accounts running simultaneously. Each account has its own name, starting balance, color code, and P&amp;L tracking. Accounts are managed via the account modal accessible from the Trade tab.</w:t>
      </w:r>
    </w:p>
    <w:p>
      <w:pPr>
        <w:spacing w:after="0" w:before="80"/>
      </w:pPr>
    </w:p>
    <w:p>
      <w:pPr>
        <w:pStyle w:val="Heading2"/>
        <w:spacing w:after="80" w:before="240"/>
      </w:pPr>
      <w:r>
        <w:rPr>
          <w:rFonts w:ascii="Arial" w:cs="Arial" w:eastAsia="Arial" w:hAnsi="Arial"/>
          <w:b/>
          <w:bCs/>
          <w:color w:val="1A140A"/>
          <w:sz w:val="24"/>
          <w:szCs w:val="24"/>
        </w:rPr>
        <w:t xml:space="preserve">Default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none" w:color="FFFFFF" w:sz="0"/>
              <w:left w:val="none" w:color="FFFFFF" w:sz="0"/>
              <w:bottom w:val="none" w:color="FFFFFF" w:sz="0"/>
              <w:right w:val="none" w:color="FFFFFF" w:sz="0"/>
            </w:tcBorders>
            <w:shd w:fill="F0EBE0" w:val="clear"/>
            <w:tcMar>
              <w:top w:type="dxa" w:w="60"/>
              <w:left w:type="dxa" w:w="100"/>
              <w:bottom w:type="dxa" w:w="60"/>
              <w:right w:type="dxa" w:w="80"/>
            </w:tcMar>
          </w:tcPr>
          <w:p>
            <w:r>
              <w:rPr>
                <w:rFonts w:ascii="Arial" w:cs="Arial" w:eastAsia="Arial" w:hAnsi="Arial"/>
                <w:b/>
                <w:bCs/>
                <w:color w:val="7A6848"/>
                <w:sz w:val="18"/>
                <w:szCs w:val="18"/>
              </w:rPr>
              <w:t xml:space="preserve">Funded Hive</w:t>
            </w:r>
          </w:p>
        </w:tc>
        <w:tc>
          <w:tcPr>
            <w:tcW w:type="dxa" w:w="7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40A"/>
                <w:sz w:val="20"/>
                <w:szCs w:val="20"/>
              </w:rPr>
              <w:t xml:space="preserve">$25,000 starting balance  —  Green</w:t>
            </w:r>
          </w:p>
        </w:tc>
      </w:tr>
      <w:tr>
        <w:tc>
          <w:tcPr>
            <w:tcW w:type="dxa" w:w="2400"/>
            <w:tcBorders>
              <w:top w:val="none" w:color="FFFFFF" w:sz="0"/>
              <w:left w:val="none" w:color="FFFFFF" w:sz="0"/>
              <w:bottom w:val="none" w:color="FFFFFF" w:sz="0"/>
              <w:right w:val="none" w:color="FFFFFF" w:sz="0"/>
            </w:tcBorders>
            <w:shd w:fill="F0EBE0" w:val="clear"/>
            <w:tcMar>
              <w:top w:type="dxa" w:w="60"/>
              <w:left w:type="dxa" w:w="100"/>
              <w:bottom w:type="dxa" w:w="60"/>
              <w:right w:type="dxa" w:w="80"/>
            </w:tcMar>
          </w:tcPr>
          <w:p>
            <w:r>
              <w:rPr>
                <w:rFonts w:ascii="Arial" w:cs="Arial" w:eastAsia="Arial" w:hAnsi="Arial"/>
                <w:b/>
                <w:bCs/>
                <w:color w:val="7A6848"/>
                <w:sz w:val="18"/>
                <w:szCs w:val="18"/>
              </w:rPr>
              <w:t xml:space="preserve">FTMO Challenge</w:t>
            </w:r>
          </w:p>
        </w:tc>
        <w:tc>
          <w:tcPr>
            <w:tcW w:type="dxa" w:w="7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40A"/>
                <w:sz w:val="20"/>
                <w:szCs w:val="20"/>
              </w:rPr>
              <w:t xml:space="preserve">$100,000 starting balance  —  Amber</w:t>
            </w:r>
          </w:p>
        </w:tc>
      </w:tr>
      <w:tr>
        <w:tc>
          <w:tcPr>
            <w:tcW w:type="dxa" w:w="2400"/>
            <w:tcBorders>
              <w:top w:val="none" w:color="FFFFFF" w:sz="0"/>
              <w:left w:val="none" w:color="FFFFFF" w:sz="0"/>
              <w:bottom w:val="none" w:color="FFFFFF" w:sz="0"/>
              <w:right w:val="none" w:color="FFFFFF" w:sz="0"/>
            </w:tcBorders>
            <w:shd w:fill="F0EBE0" w:val="clear"/>
            <w:tcMar>
              <w:top w:type="dxa" w:w="60"/>
              <w:left w:type="dxa" w:w="100"/>
              <w:bottom w:type="dxa" w:w="60"/>
              <w:right w:type="dxa" w:w="80"/>
            </w:tcMar>
          </w:tcPr>
          <w:p>
            <w:r>
              <w:rPr>
                <w:rFonts w:ascii="Arial" w:cs="Arial" w:eastAsia="Arial" w:hAnsi="Arial"/>
                <w:b/>
                <w:bCs/>
                <w:color w:val="7A6848"/>
                <w:sz w:val="18"/>
                <w:szCs w:val="18"/>
              </w:rPr>
              <w:t xml:space="preserve">FTMO Funded</w:t>
            </w:r>
          </w:p>
        </w:tc>
        <w:tc>
          <w:tcPr>
            <w:tcW w:type="dxa" w:w="7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40A"/>
                <w:sz w:val="20"/>
                <w:szCs w:val="20"/>
              </w:rPr>
              <w:t xml:space="preserve">$100,000 starting balance  —  Purple</w:t>
            </w:r>
          </w:p>
        </w:tc>
      </w:tr>
      <w:tr>
        <w:tc>
          <w:tcPr>
            <w:tcW w:type="dxa" w:w="2400"/>
            <w:tcBorders>
              <w:top w:val="none" w:color="FFFFFF" w:sz="0"/>
              <w:left w:val="none" w:color="FFFFFF" w:sz="0"/>
              <w:bottom w:val="none" w:color="FFFFFF" w:sz="0"/>
              <w:right w:val="none" w:color="FFFFFF" w:sz="0"/>
            </w:tcBorders>
            <w:shd w:fill="F0EBE0" w:val="clear"/>
            <w:tcMar>
              <w:top w:type="dxa" w:w="60"/>
              <w:left w:type="dxa" w:w="100"/>
              <w:bottom w:type="dxa" w:w="60"/>
              <w:right w:type="dxa" w:w="80"/>
            </w:tcMar>
          </w:tcPr>
          <w:p>
            <w:r>
              <w:rPr>
                <w:rFonts w:ascii="Arial" w:cs="Arial" w:eastAsia="Arial" w:hAnsi="Arial"/>
                <w:b/>
                <w:bCs/>
                <w:color w:val="7A6848"/>
                <w:sz w:val="18"/>
                <w:szCs w:val="18"/>
              </w:rPr>
              <w:t xml:space="preserve">TopStep</w:t>
            </w:r>
          </w:p>
        </w:tc>
        <w:tc>
          <w:tcPr>
            <w:tcW w:type="dxa" w:w="7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40A"/>
                <w:sz w:val="20"/>
                <w:szCs w:val="20"/>
              </w:rPr>
              <w:t xml:space="preserve">$50,000 starting balance  —  Blue</w:t>
            </w:r>
          </w:p>
        </w:tc>
      </w:tr>
      <w:tr>
        <w:tc>
          <w:tcPr>
            <w:tcW w:type="dxa" w:w="2400"/>
            <w:tcBorders>
              <w:top w:val="none" w:color="FFFFFF" w:sz="0"/>
              <w:left w:val="none" w:color="FFFFFF" w:sz="0"/>
              <w:bottom w:val="none" w:color="FFFFFF" w:sz="0"/>
              <w:right w:val="none" w:color="FFFFFF" w:sz="0"/>
            </w:tcBorders>
            <w:shd w:fill="F0EBE0" w:val="clear"/>
            <w:tcMar>
              <w:top w:type="dxa" w:w="60"/>
              <w:left w:type="dxa" w:w="100"/>
              <w:bottom w:type="dxa" w:w="60"/>
              <w:right w:type="dxa" w:w="80"/>
            </w:tcMar>
          </w:tcPr>
          <w:p>
            <w:r>
              <w:rPr>
                <w:rFonts w:ascii="Arial" w:cs="Arial" w:eastAsia="Arial" w:hAnsi="Arial"/>
                <w:b/>
                <w:bCs/>
                <w:color w:val="7A6848"/>
                <w:sz w:val="18"/>
                <w:szCs w:val="18"/>
              </w:rPr>
              <w:t xml:space="preserve">Personal</w:t>
            </w:r>
          </w:p>
        </w:tc>
        <w:tc>
          <w:tcPr>
            <w:tcW w:type="dxa" w:w="7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40A"/>
                <w:sz w:val="20"/>
                <w:szCs w:val="20"/>
              </w:rPr>
              <w:t xml:space="preserve">$10,000 starting balance  —  Cyan</w:t>
            </w:r>
          </w:p>
        </w:tc>
      </w:tr>
      <w:tr>
        <w:tc>
          <w:tcPr>
            <w:tcW w:type="dxa" w:w="2400"/>
            <w:tcBorders>
              <w:top w:val="none" w:color="FFFFFF" w:sz="0"/>
              <w:left w:val="none" w:color="FFFFFF" w:sz="0"/>
              <w:bottom w:val="none" w:color="FFFFFF" w:sz="0"/>
              <w:right w:val="none" w:color="FFFFFF" w:sz="0"/>
            </w:tcBorders>
            <w:shd w:fill="F0EBE0" w:val="clear"/>
            <w:tcMar>
              <w:top w:type="dxa" w:w="60"/>
              <w:left w:type="dxa" w:w="100"/>
              <w:bottom w:type="dxa" w:w="60"/>
              <w:right w:type="dxa" w:w="80"/>
            </w:tcMar>
          </w:tcPr>
          <w:p>
            <w:r>
              <w:rPr>
                <w:rFonts w:ascii="Arial" w:cs="Arial" w:eastAsia="Arial" w:hAnsi="Arial"/>
                <w:b/>
                <w:bCs/>
                <w:color w:val="7A6848"/>
                <w:sz w:val="18"/>
                <w:szCs w:val="18"/>
              </w:rPr>
              <w:t xml:space="preserve">Sim</w:t>
            </w:r>
          </w:p>
        </w:tc>
        <w:tc>
          <w:tcPr>
            <w:tcW w:type="dxa" w:w="7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40A"/>
                <w:sz w:val="20"/>
                <w:szCs w:val="20"/>
              </w:rPr>
              <w:t xml:space="preserve">$100,000 starting balance  —  Brown/muted</w:t>
            </w:r>
          </w:p>
        </w:tc>
      </w:tr>
    </w:tbl>
    <w:p>
      <w:pPr>
        <w:spacing w:after="0" w:before="80"/>
      </w:pPr>
    </w:p>
    <w:p>
      <w:pPr>
        <w:spacing w:after="80" w:before="60"/>
      </w:pPr>
      <w:r>
        <w:rPr>
          <w:rFonts w:ascii="Arial" w:cs="Arial" w:eastAsia="Arial" w:hAnsi="Arial"/>
          <w:b w:val="false"/>
          <w:bCs w:val="false"/>
          <w:i w:val="false"/>
          <w:iCs w:val="false"/>
          <w:color w:val="1A140A"/>
          <w:sz w:val="22"/>
          <w:szCs w:val="22"/>
        </w:rPr>
        <w:t xml:space="preserve">Accounts can be added, edited, or deleted at any time. All existing trades remain linked to their original account even if the account name changes. The account bar across the top of the dashboard shows the first three accounts by balance, with overflow accounts accessible via a dropdown.</w:t>
      </w:r>
    </w:p>
    <w:p>
      <w:pPr>
        <w:pBdr>
          <w:bottom w:val="single" w:color="DDD5C5" w:sz="4" w:space="1"/>
        </w:pBdr>
        <w:spacing w:after="120" w:before="120"/>
      </w:pPr>
    </w:p>
    <w:p>
      <w:pPr>
        <w:pStyle w:val="Heading1"/>
        <w:pBdr>
          <w:bottom w:val="single" w:color="C28A1A" w:sz="8" w:space="6"/>
        </w:pBdr>
        <w:spacing w:after="120" w:before="320"/>
      </w:pPr>
      <w:r>
        <w:rPr>
          <w:rFonts w:ascii="Arial" w:cs="Arial" w:eastAsia="Arial" w:hAnsi="Arial"/>
          <w:b/>
          <w:bCs/>
          <w:color w:val="8B5E0A"/>
          <w:sz w:val="32"/>
          <w:szCs w:val="32"/>
        </w:rPr>
        <w:t xml:space="preserve">Trade Logging</w:t>
      </w:r>
    </w:p>
    <w:p>
      <w:pPr>
        <w:pStyle w:val="Heading2"/>
        <w:spacing w:after="80" w:before="240"/>
      </w:pPr>
      <w:r>
        <w:rPr>
          <w:rFonts w:ascii="Arial" w:cs="Arial" w:eastAsia="Arial" w:hAnsi="Arial"/>
          <w:b/>
          <w:bCs/>
          <w:color w:val="1A140A"/>
          <w:sz w:val="24"/>
          <w:szCs w:val="24"/>
        </w:rPr>
        <w:t xml:space="preserve">Required Fields</w:t>
      </w:r>
    </w:p>
    <w:p>
      <w:pPr>
        <w:pStyle w:val="ListParagraph"/>
        <w:numPr>
          <w:ilvl w:val="0"/>
          <w:numId w:val="2"/>
        </w:numPr>
        <w:spacing w:after="40" w:before="40"/>
      </w:pPr>
      <w:r>
        <w:rPr>
          <w:rFonts w:ascii="Arial" w:cs="Arial" w:eastAsia="Arial" w:hAnsi="Arial"/>
          <w:color w:val="1A140A"/>
          <w:sz w:val="22"/>
          <w:szCs w:val="22"/>
        </w:rPr>
        <w:t xml:space="preserve">Instrument</w:t>
      </w:r>
      <w:r>
        <w:rPr>
          <w:rFonts w:ascii="Arial" w:cs="Arial" w:eastAsia="Arial" w:hAnsi="Arial"/>
          <w:i/>
          <w:iCs/>
          <w:color w:val="7A6848"/>
          <w:sz w:val="20"/>
          <w:szCs w:val="20"/>
        </w:rPr>
        <w:t xml:space="preserve">  US30, NAS100, Gold (XAUUSD), USD/JPY, EUR/USD, Silver, or Other</w:t>
      </w:r>
    </w:p>
    <w:p>
      <w:pPr>
        <w:pStyle w:val="ListParagraph"/>
        <w:numPr>
          <w:ilvl w:val="0"/>
          <w:numId w:val="2"/>
        </w:numPr>
        <w:spacing w:after="40" w:before="40"/>
      </w:pPr>
      <w:r>
        <w:rPr>
          <w:rFonts w:ascii="Arial" w:cs="Arial" w:eastAsia="Arial" w:hAnsi="Arial"/>
          <w:color w:val="1A140A"/>
          <w:sz w:val="22"/>
          <w:szCs w:val="22"/>
        </w:rPr>
        <w:t xml:space="preserve">Direction</w:t>
      </w:r>
      <w:r>
        <w:rPr>
          <w:rFonts w:ascii="Arial" w:cs="Arial" w:eastAsia="Arial" w:hAnsi="Arial"/>
          <w:i/>
          <w:iCs/>
          <w:color w:val="7A6848"/>
          <w:sz w:val="20"/>
          <w:szCs w:val="20"/>
        </w:rPr>
        <w:t xml:space="preserve">  Long or Short</w:t>
      </w:r>
    </w:p>
    <w:p>
      <w:pPr>
        <w:pStyle w:val="ListParagraph"/>
        <w:numPr>
          <w:ilvl w:val="0"/>
          <w:numId w:val="2"/>
        </w:numPr>
        <w:spacing w:after="40" w:before="40"/>
      </w:pPr>
      <w:r>
        <w:rPr>
          <w:rFonts w:ascii="Arial" w:cs="Arial" w:eastAsia="Arial" w:hAnsi="Arial"/>
          <w:color w:val="1A140A"/>
          <w:sz w:val="22"/>
          <w:szCs w:val="22"/>
        </w:rPr>
        <w:t xml:space="preserve">Entry Price, Stop Loss, Take Profit</w:t>
      </w:r>
      <w:r>
        <w:rPr>
          <w:rFonts w:ascii="Arial" w:cs="Arial" w:eastAsia="Arial" w:hAnsi="Arial"/>
          <w:i/>
          <w:iCs/>
          <w:color w:val="7A6848"/>
          <w:sz w:val="20"/>
          <w:szCs w:val="20"/>
        </w:rPr>
        <w:t xml:space="preserve">  Auto-calculates RR ratio in real time</w:t>
      </w:r>
    </w:p>
    <w:p>
      <w:pPr>
        <w:pStyle w:val="ListParagraph"/>
        <w:numPr>
          <w:ilvl w:val="0"/>
          <w:numId w:val="2"/>
        </w:numPr>
        <w:spacing w:after="40" w:before="40"/>
      </w:pPr>
      <w:r>
        <w:rPr>
          <w:rFonts w:ascii="Arial" w:cs="Arial" w:eastAsia="Arial" w:hAnsi="Arial"/>
          <w:color w:val="1A140A"/>
          <w:sz w:val="22"/>
          <w:szCs w:val="22"/>
        </w:rPr>
        <w:t xml:space="preserve">Account</w:t>
      </w:r>
      <w:r>
        <w:rPr>
          <w:rFonts w:ascii="Arial" w:cs="Arial" w:eastAsia="Arial" w:hAnsi="Arial"/>
          <w:i/>
          <w:iCs/>
          <w:color w:val="7A6848"/>
          <w:sz w:val="20"/>
          <w:szCs w:val="20"/>
        </w:rPr>
        <w:t xml:space="preserve">  Links trade to selected funded account</w:t>
      </w:r>
    </w:p>
    <w:p>
      <w:pPr>
        <w:pStyle w:val="ListParagraph"/>
        <w:numPr>
          <w:ilvl w:val="0"/>
          <w:numId w:val="2"/>
        </w:numPr>
        <w:spacing w:after="40" w:before="40"/>
      </w:pPr>
      <w:r>
        <w:rPr>
          <w:rFonts w:ascii="Arial" w:cs="Arial" w:eastAsia="Arial" w:hAnsi="Arial"/>
          <w:color w:val="1A140A"/>
          <w:sz w:val="22"/>
          <w:szCs w:val="22"/>
        </w:rPr>
        <w:t xml:space="preserve">Setup Type</w:t>
      </w:r>
      <w:r>
        <w:rPr>
          <w:rFonts w:ascii="Arial" w:cs="Arial" w:eastAsia="Arial" w:hAnsi="Arial"/>
          <w:i/>
          <w:iCs/>
          <w:color w:val="7A6848"/>
          <w:sz w:val="20"/>
          <w:szCs w:val="20"/>
        </w:rPr>
        <w:t xml:space="preserve">  Selected from categorized setup library (OB, FVG, EQ, Wyckoff, Advanced)</w:t>
      </w:r>
    </w:p>
    <w:p>
      <w:pPr>
        <w:pStyle w:val="ListParagraph"/>
        <w:numPr>
          <w:ilvl w:val="0"/>
          <w:numId w:val="2"/>
        </w:numPr>
        <w:spacing w:after="40" w:before="40"/>
      </w:pPr>
      <w:r>
        <w:rPr>
          <w:rFonts w:ascii="Arial" w:cs="Arial" w:eastAsia="Arial" w:hAnsi="Arial"/>
          <w:color w:val="1A140A"/>
          <w:sz w:val="22"/>
          <w:szCs w:val="22"/>
        </w:rPr>
        <w:t xml:space="preserve">HTF Alignment</w:t>
      </w:r>
      <w:r>
        <w:rPr>
          <w:rFonts w:ascii="Arial" w:cs="Arial" w:eastAsia="Arial" w:hAnsi="Arial"/>
          <w:i/>
          <w:iCs/>
          <w:color w:val="7A6848"/>
          <w:sz w:val="20"/>
          <w:szCs w:val="20"/>
        </w:rPr>
        <w:t xml:space="preserve">  4H + 1H alignment status — required for trade quality grading</w:t>
      </w:r>
    </w:p>
    <w:p>
      <w:pPr>
        <w:pStyle w:val="ListParagraph"/>
        <w:numPr>
          <w:ilvl w:val="0"/>
          <w:numId w:val="2"/>
        </w:numPr>
        <w:spacing w:after="40" w:before="40"/>
      </w:pPr>
      <w:r>
        <w:rPr>
          <w:rFonts w:ascii="Arial" w:cs="Arial" w:eastAsia="Arial" w:hAnsi="Arial"/>
          <w:color w:val="1A140A"/>
          <w:sz w:val="22"/>
          <w:szCs w:val="22"/>
        </w:rPr>
        <w:t xml:space="preserve">LTF Confirmation</w:t>
      </w:r>
      <w:r>
        <w:rPr>
          <w:rFonts w:ascii="Arial" w:cs="Arial" w:eastAsia="Arial" w:hAnsi="Arial"/>
          <w:i/>
          <w:iCs/>
          <w:color w:val="7A6848"/>
          <w:sz w:val="20"/>
          <w:szCs w:val="20"/>
        </w:rPr>
        <w:t xml:space="preserve">  15M/5M structure level — ChoCh, BOS, or continuation</w:t>
      </w:r>
    </w:p>
    <w:p>
      <w:pPr>
        <w:spacing w:after="0" w:before="80"/>
      </w:pPr>
    </w:p>
    <w:p>
      <w:pPr>
        <w:pStyle w:val="Heading2"/>
        <w:spacing w:after="80" w:before="240"/>
      </w:pPr>
      <w:r>
        <w:rPr>
          <w:rFonts w:ascii="Arial" w:cs="Arial" w:eastAsia="Arial" w:hAnsi="Arial"/>
          <w:b/>
          <w:bCs/>
          <w:color w:val="1A140A"/>
          <w:sz w:val="24"/>
          <w:szCs w:val="24"/>
        </w:rPr>
        <w:t xml:space="preserve">Optional Fields</w:t>
      </w:r>
    </w:p>
    <w:p>
      <w:pPr>
        <w:pStyle w:val="ListParagraph"/>
        <w:numPr>
          <w:ilvl w:val="0"/>
          <w:numId w:val="2"/>
        </w:numPr>
        <w:spacing w:after="40" w:before="40"/>
      </w:pPr>
      <w:r>
        <w:rPr>
          <w:rFonts w:ascii="Arial" w:cs="Arial" w:eastAsia="Arial" w:hAnsi="Arial"/>
          <w:color w:val="1A140A"/>
          <w:sz w:val="22"/>
          <w:szCs w:val="22"/>
        </w:rPr>
        <w:t xml:space="preserve">HTF POI Type</w:t>
      </w:r>
      <w:r>
        <w:rPr>
          <w:rFonts w:ascii="Arial" w:cs="Arial" w:eastAsia="Arial" w:hAnsi="Arial"/>
          <w:i/>
          <w:iCs/>
          <w:color w:val="7A6848"/>
          <w:sz w:val="20"/>
          <w:szCs w:val="20"/>
        </w:rPr>
        <w:t xml:space="preserve">  OB / FVG / iFVG</w:t>
      </w:r>
    </w:p>
    <w:p>
      <w:pPr>
        <w:pStyle w:val="ListParagraph"/>
        <w:numPr>
          <w:ilvl w:val="0"/>
          <w:numId w:val="2"/>
        </w:numPr>
        <w:spacing w:after="40" w:before="40"/>
      </w:pPr>
      <w:r>
        <w:rPr>
          <w:rFonts w:ascii="Arial" w:cs="Arial" w:eastAsia="Arial" w:hAnsi="Arial"/>
          <w:color w:val="1A140A"/>
          <w:sz w:val="22"/>
          <w:szCs w:val="22"/>
        </w:rPr>
        <w:t xml:space="preserve">LTF POI Type</w:t>
      </w:r>
      <w:r>
        <w:rPr>
          <w:rFonts w:ascii="Arial" w:cs="Arial" w:eastAsia="Arial" w:hAnsi="Arial"/>
          <w:i/>
          <w:iCs/>
          <w:color w:val="7A6848"/>
          <w:sz w:val="20"/>
          <w:szCs w:val="20"/>
        </w:rPr>
        <w:t xml:space="preserve">  OB / FVG / EQ / Spring / Sweep</w:t>
      </w:r>
    </w:p>
    <w:p>
      <w:pPr>
        <w:pStyle w:val="ListParagraph"/>
        <w:numPr>
          <w:ilvl w:val="0"/>
          <w:numId w:val="2"/>
        </w:numPr>
        <w:spacing w:after="40" w:before="40"/>
      </w:pPr>
      <w:r>
        <w:rPr>
          <w:rFonts w:ascii="Arial" w:cs="Arial" w:eastAsia="Arial" w:hAnsi="Arial"/>
          <w:color w:val="1A140A"/>
          <w:sz w:val="22"/>
          <w:szCs w:val="22"/>
        </w:rPr>
        <w:t xml:space="preserve">Execution Pattern</w:t>
      </w:r>
      <w:r>
        <w:rPr>
          <w:rFonts w:ascii="Arial" w:cs="Arial" w:eastAsia="Arial" w:hAnsi="Arial"/>
          <w:i/>
          <w:iCs/>
          <w:color w:val="7A6848"/>
          <w:sz w:val="20"/>
          <w:szCs w:val="20"/>
        </w:rPr>
        <w:t xml:space="preserve">  3M in-out candle, engulf, pin bar, reclaim</w:t>
      </w:r>
    </w:p>
    <w:p>
      <w:pPr>
        <w:pStyle w:val="ListParagraph"/>
        <w:numPr>
          <w:ilvl w:val="0"/>
          <w:numId w:val="2"/>
        </w:numPr>
        <w:spacing w:after="40" w:before="40"/>
      </w:pPr>
      <w:r>
        <w:rPr>
          <w:rFonts w:ascii="Arial" w:cs="Arial" w:eastAsia="Arial" w:hAnsi="Arial"/>
          <w:color w:val="1A140A"/>
          <w:sz w:val="22"/>
          <w:szCs w:val="22"/>
        </w:rPr>
        <w:t xml:space="preserve">Size ($Risk)</w:t>
      </w:r>
      <w:r>
        <w:rPr>
          <w:rFonts w:ascii="Arial" w:cs="Arial" w:eastAsia="Arial" w:hAnsi="Arial"/>
          <w:i/>
          <w:iCs/>
          <w:color w:val="7A6848"/>
          <w:sz w:val="20"/>
          <w:szCs w:val="20"/>
        </w:rPr>
        <w:t xml:space="preserve">  Dollar amount risked per trade</w:t>
      </w:r>
    </w:p>
    <w:p>
      <w:pPr>
        <w:pStyle w:val="ListParagraph"/>
        <w:numPr>
          <w:ilvl w:val="0"/>
          <w:numId w:val="2"/>
        </w:numPr>
        <w:spacing w:after="40" w:before="40"/>
      </w:pPr>
      <w:r>
        <w:rPr>
          <w:rFonts w:ascii="Arial" w:cs="Arial" w:eastAsia="Arial" w:hAnsi="Arial"/>
          <w:color w:val="1A140A"/>
          <w:sz w:val="22"/>
          <w:szCs w:val="22"/>
        </w:rPr>
        <w:t xml:space="preserve">Trade Story</w:t>
      </w:r>
      <w:r>
        <w:rPr>
          <w:rFonts w:ascii="Arial" w:cs="Arial" w:eastAsia="Arial" w:hAnsi="Arial"/>
          <w:i/>
          <w:iCs/>
          <w:color w:val="7A6848"/>
          <w:sz w:val="20"/>
          <w:szCs w:val="20"/>
        </w:rPr>
        <w:t xml:space="preserve">  Narrative text explaining the thesis</w:t>
      </w:r>
    </w:p>
    <w:p>
      <w:pPr>
        <w:pStyle w:val="ListParagraph"/>
        <w:numPr>
          <w:ilvl w:val="0"/>
          <w:numId w:val="2"/>
        </w:numPr>
        <w:spacing w:after="40" w:before="40"/>
      </w:pPr>
      <w:r>
        <w:rPr>
          <w:rFonts w:ascii="Arial" w:cs="Arial" w:eastAsia="Arial" w:hAnsi="Arial"/>
          <w:color w:val="1A140A"/>
          <w:sz w:val="22"/>
          <w:szCs w:val="22"/>
        </w:rPr>
        <w:t xml:space="preserve">Emotion at Entry</w:t>
      </w:r>
      <w:r>
        <w:rPr>
          <w:rFonts w:ascii="Arial" w:cs="Arial" w:eastAsia="Arial" w:hAnsi="Arial"/>
          <w:i/>
          <w:iCs/>
          <w:color w:val="7A6848"/>
          <w:sz w:val="20"/>
          <w:szCs w:val="20"/>
        </w:rPr>
        <w:t xml:space="preserve">  State of mind at time of entry</w:t>
      </w:r>
    </w:p>
    <w:p>
      <w:pPr>
        <w:pStyle w:val="ListParagraph"/>
        <w:numPr>
          <w:ilvl w:val="0"/>
          <w:numId w:val="2"/>
        </w:numPr>
        <w:spacing w:after="40" w:before="40"/>
      </w:pPr>
      <w:r>
        <w:rPr>
          <w:rFonts w:ascii="Arial" w:cs="Arial" w:eastAsia="Arial" w:hAnsi="Arial"/>
          <w:color w:val="1A140A"/>
          <w:sz w:val="22"/>
          <w:szCs w:val="22"/>
        </w:rPr>
        <w:t xml:space="preserve">Photos</w:t>
      </w:r>
      <w:r>
        <w:rPr>
          <w:rFonts w:ascii="Arial" w:cs="Arial" w:eastAsia="Arial" w:hAnsi="Arial"/>
          <w:i/>
          <w:iCs/>
          <w:color w:val="7A6848"/>
          <w:sz w:val="20"/>
          <w:szCs w:val="20"/>
        </w:rPr>
        <w:t xml:space="preserve">  Up to 4 chart screenshots attached per trade</w:t>
      </w:r>
    </w:p>
    <w:p>
      <w:pPr>
        <w:spacing w:after="0" w:before="80"/>
      </w:pPr>
    </w:p>
    <w:p>
      <w:pPr>
        <w:pStyle w:val="Heading2"/>
        <w:spacing w:after="80" w:before="240"/>
      </w:pPr>
      <w:r>
        <w:rPr>
          <w:rFonts w:ascii="Arial" w:cs="Arial" w:eastAsia="Arial" w:hAnsi="Arial"/>
          <w:b/>
          <w:bCs/>
          <w:color w:val="1A140A"/>
          <w:sz w:val="24"/>
          <w:szCs w:val="24"/>
        </w:rPr>
        <w:t xml:space="preserve">Pre-Trade Checklist</w:t>
      </w:r>
    </w:p>
    <w:p>
      <w:pPr>
        <w:spacing w:after="80" w:before="60"/>
      </w:pPr>
      <w:r>
        <w:rPr>
          <w:rFonts w:ascii="Arial" w:cs="Arial" w:eastAsia="Arial" w:hAnsi="Arial"/>
          <w:b w:val="false"/>
          <w:bCs w:val="false"/>
          <w:i w:val="false"/>
          <w:iCs w:val="false"/>
          <w:color w:val="1A140A"/>
          <w:sz w:val="22"/>
          <w:szCs w:val="22"/>
        </w:rPr>
        <w:t xml:space="preserve">Before a trade can be saved, all 10 checklist items must be confirmed. The checklist enforces the full HiddenOS system. Items include:</w:t>
      </w:r>
    </w:p>
    <w:p>
      <w:pPr>
        <w:pStyle w:val="ListParagraph"/>
        <w:numPr>
          <w:ilvl w:val="0"/>
          <w:numId w:val="2"/>
        </w:numPr>
        <w:spacing w:after="40" w:before="40"/>
      </w:pPr>
      <w:r>
        <w:rPr>
          <w:rFonts w:ascii="Arial" w:cs="Arial" w:eastAsia="Arial" w:hAnsi="Arial"/>
          <w:color w:val="1A140A"/>
          <w:sz w:val="22"/>
          <w:szCs w:val="22"/>
        </w:rPr>
        <w:t xml:space="preserve">HTF bias confirmed on 4H and 1H</w:t>
      </w:r>
    </w:p>
    <w:p>
      <w:pPr>
        <w:pStyle w:val="ListParagraph"/>
        <w:numPr>
          <w:ilvl w:val="0"/>
          <w:numId w:val="2"/>
        </w:numPr>
        <w:spacing w:after="40" w:before="40"/>
      </w:pPr>
      <w:r>
        <w:rPr>
          <w:rFonts w:ascii="Arial" w:cs="Arial" w:eastAsia="Arial" w:hAnsi="Arial"/>
          <w:color w:val="1A140A"/>
          <w:sz w:val="22"/>
          <w:szCs w:val="22"/>
        </w:rPr>
        <w:t xml:space="preserve">HTF POI identified — price at a defined institutional zone</w:t>
      </w:r>
    </w:p>
    <w:p>
      <w:pPr>
        <w:pStyle w:val="ListParagraph"/>
        <w:numPr>
          <w:ilvl w:val="0"/>
          <w:numId w:val="2"/>
        </w:numPr>
        <w:spacing w:after="40" w:before="40"/>
      </w:pPr>
      <w:r>
        <w:rPr>
          <w:rFonts w:ascii="Arial" w:cs="Arial" w:eastAsia="Arial" w:hAnsi="Arial"/>
          <w:color w:val="1A140A"/>
          <w:sz w:val="22"/>
          <w:szCs w:val="22"/>
        </w:rPr>
        <w:t xml:space="preserve">LTF confirmation — 15M ChoCh or BOS</w:t>
      </w:r>
    </w:p>
    <w:p>
      <w:pPr>
        <w:pStyle w:val="ListParagraph"/>
        <w:numPr>
          <w:ilvl w:val="0"/>
          <w:numId w:val="2"/>
        </w:numPr>
        <w:spacing w:after="40" w:before="40"/>
      </w:pPr>
      <w:r>
        <w:rPr>
          <w:rFonts w:ascii="Arial" w:cs="Arial" w:eastAsia="Arial" w:hAnsi="Arial"/>
          <w:color w:val="1A140A"/>
          <w:sz w:val="22"/>
          <w:szCs w:val="22"/>
        </w:rPr>
        <w:t xml:space="preserve">Named setup identified from setup library</w:t>
      </w:r>
    </w:p>
    <w:p>
      <w:pPr>
        <w:pStyle w:val="ListParagraph"/>
        <w:numPr>
          <w:ilvl w:val="0"/>
          <w:numId w:val="2"/>
        </w:numPr>
        <w:spacing w:after="40" w:before="40"/>
      </w:pPr>
      <w:r>
        <w:rPr>
          <w:rFonts w:ascii="Arial" w:cs="Arial" w:eastAsia="Arial" w:hAnsi="Arial"/>
          <w:color w:val="1A140A"/>
          <w:sz w:val="22"/>
          <w:szCs w:val="22"/>
        </w:rPr>
        <w:t xml:space="preserve">3M in-out candle or execution pattern confirmed</w:t>
      </w:r>
    </w:p>
    <w:p>
      <w:pPr>
        <w:pStyle w:val="ListParagraph"/>
        <w:numPr>
          <w:ilvl w:val="0"/>
          <w:numId w:val="2"/>
        </w:numPr>
        <w:spacing w:after="40" w:before="40"/>
      </w:pPr>
      <w:r>
        <w:rPr>
          <w:rFonts w:ascii="Arial" w:cs="Arial" w:eastAsia="Arial" w:hAnsi="Arial"/>
          <w:color w:val="1A140A"/>
          <w:sz w:val="22"/>
          <w:szCs w:val="22"/>
        </w:rPr>
        <w:t xml:space="preserve">Stop loss at structural level — not arbitrary</w:t>
      </w:r>
    </w:p>
    <w:p>
      <w:pPr>
        <w:pStyle w:val="ListParagraph"/>
        <w:numPr>
          <w:ilvl w:val="0"/>
          <w:numId w:val="2"/>
        </w:numPr>
        <w:spacing w:after="40" w:before="40"/>
      </w:pPr>
      <w:r>
        <w:rPr>
          <w:rFonts w:ascii="Arial" w:cs="Arial" w:eastAsia="Arial" w:hAnsi="Arial"/>
          <w:color w:val="1A140A"/>
          <w:sz w:val="22"/>
          <w:szCs w:val="22"/>
        </w:rPr>
        <w:t xml:space="preserve">Minimum 1:1.5 RR confirmed by calculator</w:t>
      </w:r>
    </w:p>
    <w:p>
      <w:pPr>
        <w:pStyle w:val="ListParagraph"/>
        <w:numPr>
          <w:ilvl w:val="0"/>
          <w:numId w:val="2"/>
        </w:numPr>
        <w:spacing w:after="40" w:before="40"/>
      </w:pPr>
      <w:r>
        <w:rPr>
          <w:rFonts w:ascii="Arial" w:cs="Arial" w:eastAsia="Arial" w:hAnsi="Arial"/>
          <w:color w:val="1A140A"/>
          <w:sz w:val="22"/>
          <w:szCs w:val="22"/>
        </w:rPr>
        <w:t xml:space="preserve">Not a revenge or FOMO trade — 5-minute pause taken</w:t>
      </w:r>
    </w:p>
    <w:p>
      <w:pPr>
        <w:pStyle w:val="ListParagraph"/>
        <w:numPr>
          <w:ilvl w:val="0"/>
          <w:numId w:val="2"/>
        </w:numPr>
        <w:spacing w:after="40" w:before="40"/>
      </w:pPr>
      <w:r>
        <w:rPr>
          <w:rFonts w:ascii="Arial" w:cs="Arial" w:eastAsia="Arial" w:hAnsi="Arial"/>
          <w:color w:val="1A140A"/>
          <w:sz w:val="22"/>
          <w:szCs w:val="22"/>
        </w:rPr>
        <w:t xml:space="preserve">Session window active — 07:00 to 12:00 ET</w:t>
      </w:r>
    </w:p>
    <w:p>
      <w:pPr>
        <w:pStyle w:val="ListParagraph"/>
        <w:numPr>
          <w:ilvl w:val="0"/>
          <w:numId w:val="2"/>
        </w:numPr>
        <w:spacing w:after="40" w:before="40"/>
      </w:pPr>
      <w:r>
        <w:rPr>
          <w:rFonts w:ascii="Arial" w:cs="Arial" w:eastAsia="Arial" w:hAnsi="Arial"/>
          <w:color w:val="1A140A"/>
          <w:sz w:val="22"/>
          <w:szCs w:val="22"/>
        </w:rPr>
        <w:t xml:space="preserve">News context checked — speculation or reaction ready</w:t>
      </w:r>
    </w:p>
    <w:p>
      <w:pPr>
        <w:spacing w:after="0" w:before="80"/>
      </w:pPr>
    </w:p>
    <w:p>
      <w:pPr>
        <w:pStyle w:val="Heading2"/>
        <w:spacing w:after="80" w:before="240"/>
      </w:pPr>
      <w:r>
        <w:rPr>
          <w:rFonts w:ascii="Arial" w:cs="Arial" w:eastAsia="Arial" w:hAnsi="Arial"/>
          <w:b/>
          <w:bCs/>
          <w:color w:val="1A140A"/>
          <w:sz w:val="24"/>
          <w:szCs w:val="24"/>
        </w:rPr>
        <w:t xml:space="preserve">Closing a Trade</w:t>
      </w:r>
    </w:p>
    <w:p>
      <w:pPr>
        <w:spacing w:after="80" w:before="60"/>
      </w:pPr>
      <w:r>
        <w:rPr>
          <w:rFonts w:ascii="Arial" w:cs="Arial" w:eastAsia="Arial" w:hAnsi="Arial"/>
          <w:b w:val="false"/>
          <w:bCs w:val="false"/>
          <w:i w:val="false"/>
          <w:iCs w:val="false"/>
          <w:color w:val="1A140A"/>
          <w:sz w:val="22"/>
          <w:szCs w:val="22"/>
        </w:rPr>
        <w:t xml:space="preserve">Open trades appear in a dropdown selector on the Trade tab. Select an open trade, enter the exit price and outcome (Win / Loss / Breakeven), and save. The P&amp;L is calculated automatically and the trade is marked closed. Closed trades feed into all dashboard stats, calendar, and analytics.</w:t>
      </w:r>
    </w:p>
    <w:p>
      <w:pPr>
        <w:pBdr>
          <w:bottom w:val="single" w:color="DDD5C5" w:sz="4" w:space="1"/>
        </w:pBdr>
        <w:spacing w:after="120" w:before="120"/>
      </w:pPr>
    </w:p>
    <w:p>
      <w:pPr>
        <w:pStyle w:val="Heading1"/>
        <w:pBdr>
          <w:bottom w:val="single" w:color="C28A1A" w:sz="8" w:space="6"/>
        </w:pBdr>
        <w:spacing w:after="120" w:before="320"/>
      </w:pPr>
      <w:r>
        <w:rPr>
          <w:rFonts w:ascii="Arial" w:cs="Arial" w:eastAsia="Arial" w:hAnsi="Arial"/>
          <w:b/>
          <w:bCs/>
          <w:color w:val="8B5E0A"/>
          <w:sz w:val="32"/>
          <w:szCs w:val="32"/>
        </w:rPr>
        <w:t xml:space="preserve">Dashboard</w:t>
      </w:r>
    </w:p>
    <w:p>
      <w:pPr>
        <w:spacing w:after="80" w:before="60"/>
      </w:pPr>
      <w:r>
        <w:rPr>
          <w:rFonts w:ascii="Arial" w:cs="Arial" w:eastAsia="Arial" w:hAnsi="Arial"/>
          <w:b w:val="false"/>
          <w:bCs w:val="false"/>
          <w:i w:val="false"/>
          <w:iCs w:val="false"/>
          <w:color w:val="1A140A"/>
          <w:sz w:val="22"/>
          <w:szCs w:val="22"/>
        </w:rPr>
        <w:t xml:space="preserve">The Dashboard tab is the daily start-of-session screen. It has two functions: preparation and monitoring.</w:t>
      </w:r>
    </w:p>
    <w:p>
      <w:pPr>
        <w:spacing w:after="0" w:before="80"/>
      </w:pPr>
    </w:p>
    <w:p>
      <w:pPr>
        <w:pStyle w:val="Heading2"/>
        <w:spacing w:after="80" w:before="240"/>
      </w:pPr>
      <w:r>
        <w:rPr>
          <w:rFonts w:ascii="Arial" w:cs="Arial" w:eastAsia="Arial" w:hAnsi="Arial"/>
          <w:b/>
          <w:bCs/>
          <w:color w:val="1A140A"/>
          <w:sz w:val="24"/>
          <w:szCs w:val="24"/>
        </w:rPr>
        <w:t xml:space="preserve">Preparation Panel (left)</w:t>
      </w:r>
    </w:p>
    <w:p>
      <w:pPr>
        <w:pStyle w:val="ListParagraph"/>
        <w:numPr>
          <w:ilvl w:val="0"/>
          <w:numId w:val="2"/>
        </w:numPr>
        <w:spacing w:after="40" w:before="40"/>
      </w:pPr>
      <w:r>
        <w:rPr>
          <w:rFonts w:ascii="Arial" w:cs="Arial" w:eastAsia="Arial" w:hAnsi="Arial"/>
          <w:color w:val="1A140A"/>
          <w:sz w:val="22"/>
          <w:szCs w:val="22"/>
        </w:rPr>
        <w:t xml:space="preserve">Session Bias</w:t>
      </w:r>
      <w:r>
        <w:rPr>
          <w:rFonts w:ascii="Arial" w:cs="Arial" w:eastAsia="Arial" w:hAnsi="Arial"/>
          <w:i/>
          <w:iCs/>
          <w:color w:val="7A6848"/>
          <w:sz w:val="20"/>
          <w:szCs w:val="20"/>
        </w:rPr>
        <w:t xml:space="preserve">  Select Bullish / Bearish / Range / News Day / No Trade Day for the session</w:t>
      </w:r>
    </w:p>
    <w:p>
      <w:pPr>
        <w:pStyle w:val="ListParagraph"/>
        <w:numPr>
          <w:ilvl w:val="0"/>
          <w:numId w:val="2"/>
        </w:numPr>
        <w:spacing w:after="40" w:before="40"/>
      </w:pPr>
      <w:r>
        <w:rPr>
          <w:rFonts w:ascii="Arial" w:cs="Arial" w:eastAsia="Arial" w:hAnsi="Arial"/>
          <w:color w:val="1A140A"/>
          <w:sz w:val="22"/>
          <w:szCs w:val="22"/>
        </w:rPr>
        <w:t xml:space="preserve">Gameplan</w:t>
      </w:r>
      <w:r>
        <w:rPr>
          <w:rFonts w:ascii="Arial" w:cs="Arial" w:eastAsia="Arial" w:hAnsi="Arial"/>
          <w:i/>
          <w:iCs/>
          <w:color w:val="7A6848"/>
          <w:sz w:val="20"/>
          <w:szCs w:val="20"/>
        </w:rPr>
        <w:t xml:space="preserve">  Text field for key levels, setup expectations, news thesis, and planned reactions</w:t>
      </w:r>
    </w:p>
    <w:p>
      <w:pPr>
        <w:pStyle w:val="ListParagraph"/>
        <w:numPr>
          <w:ilvl w:val="0"/>
          <w:numId w:val="2"/>
        </w:numPr>
        <w:spacing w:after="40" w:before="40"/>
      </w:pPr>
      <w:r>
        <w:rPr>
          <w:rFonts w:ascii="Arial" w:cs="Arial" w:eastAsia="Arial" w:hAnsi="Arial"/>
          <w:color w:val="1A140A"/>
          <w:sz w:val="22"/>
          <w:szCs w:val="22"/>
        </w:rPr>
        <w:t xml:space="preserve">Emotional State</w:t>
      </w:r>
      <w:r>
        <w:rPr>
          <w:rFonts w:ascii="Arial" w:cs="Arial" w:eastAsia="Arial" w:hAnsi="Arial"/>
          <w:i/>
          <w:iCs/>
          <w:color w:val="7A6848"/>
          <w:sz w:val="20"/>
          <w:szCs w:val="20"/>
        </w:rPr>
        <w:t xml:space="preserve">  Select from Focused, Calm, Confident, Anxious, Tired, or Revenge — each triggers an advisory message</w:t>
      </w:r>
    </w:p>
    <w:p>
      <w:pPr>
        <w:pStyle w:val="ListParagraph"/>
        <w:numPr>
          <w:ilvl w:val="0"/>
          <w:numId w:val="2"/>
        </w:numPr>
        <w:spacing w:after="40" w:before="40"/>
      </w:pPr>
      <w:r>
        <w:rPr>
          <w:rFonts w:ascii="Arial" w:cs="Arial" w:eastAsia="Arial" w:hAnsi="Arial"/>
          <w:color w:val="1A140A"/>
          <w:sz w:val="22"/>
          <w:szCs w:val="22"/>
        </w:rPr>
        <w:t xml:space="preserve">Quick Notes</w:t>
      </w:r>
      <w:r>
        <w:rPr>
          <w:rFonts w:ascii="Arial" w:cs="Arial" w:eastAsia="Arial" w:hAnsi="Arial"/>
          <w:i/>
          <w:iCs/>
          <w:color w:val="7A6848"/>
          <w:sz w:val="20"/>
          <w:szCs w:val="20"/>
        </w:rPr>
        <w:t xml:space="preserve">  Freeform level observations saved by timestamp — visible below the input</w:t>
      </w:r>
    </w:p>
    <w:p>
      <w:pPr>
        <w:spacing w:after="0" w:before="80"/>
      </w:pPr>
    </w:p>
    <w:p>
      <w:pPr>
        <w:pStyle w:val="Heading2"/>
        <w:spacing w:after="80" w:before="240"/>
      </w:pPr>
      <w:r>
        <w:rPr>
          <w:rFonts w:ascii="Arial" w:cs="Arial" w:eastAsia="Arial" w:hAnsi="Arial"/>
          <w:b/>
          <w:bCs/>
          <w:color w:val="1A140A"/>
          <w:sz w:val="24"/>
          <w:szCs w:val="24"/>
        </w:rPr>
        <w:t xml:space="preserve">Monitoring Panel (right)</w:t>
      </w:r>
    </w:p>
    <w:p>
      <w:pPr>
        <w:pStyle w:val="ListParagraph"/>
        <w:numPr>
          <w:ilvl w:val="0"/>
          <w:numId w:val="2"/>
        </w:numPr>
        <w:spacing w:after="40" w:before="40"/>
      </w:pPr>
      <w:r>
        <w:rPr>
          <w:rFonts w:ascii="Arial" w:cs="Arial" w:eastAsia="Arial" w:hAnsi="Arial"/>
          <w:color w:val="1A140A"/>
          <w:sz w:val="22"/>
          <w:szCs w:val="22"/>
        </w:rPr>
        <w:t xml:space="preserve">Pre-Trade Checklist</w:t>
      </w:r>
      <w:r>
        <w:rPr>
          <w:rFonts w:ascii="Arial" w:cs="Arial" w:eastAsia="Arial" w:hAnsi="Arial"/>
          <w:i/>
          <w:iCs/>
          <w:color w:val="7A6848"/>
          <w:sz w:val="20"/>
          <w:szCs w:val="20"/>
        </w:rPr>
        <w:t xml:space="preserve">  Same 10-item checklist from the Trade tab — used for awareness throughout the session</w:t>
      </w:r>
    </w:p>
    <w:p>
      <w:pPr>
        <w:pStyle w:val="ListParagraph"/>
        <w:numPr>
          <w:ilvl w:val="0"/>
          <w:numId w:val="2"/>
        </w:numPr>
        <w:spacing w:after="40" w:before="40"/>
      </w:pPr>
      <w:r>
        <w:rPr>
          <w:rFonts w:ascii="Arial" w:cs="Arial" w:eastAsia="Arial" w:hAnsi="Arial"/>
          <w:color w:val="1A140A"/>
          <w:sz w:val="22"/>
          <w:szCs w:val="22"/>
        </w:rPr>
        <w:t xml:space="preserve">Macro Snapshot</w:t>
      </w:r>
      <w:r>
        <w:rPr>
          <w:rFonts w:ascii="Arial" w:cs="Arial" w:eastAsia="Arial" w:hAnsi="Arial"/>
          <w:i/>
          <w:iCs/>
          <w:color w:val="7A6848"/>
          <w:sz w:val="20"/>
          <w:szCs w:val="20"/>
        </w:rPr>
        <w:t xml:space="preserve">  Pulls today's saved macro form data — DXY, bias, event, and session notes</w:t>
      </w:r>
    </w:p>
    <w:p>
      <w:pPr>
        <w:spacing w:after="0" w:before="80"/>
      </w:pPr>
    </w:p>
    <w:p>
      <w:pPr>
        <w:pStyle w:val="Heading2"/>
        <w:spacing w:after="80" w:before="240"/>
      </w:pPr>
      <w:r>
        <w:rPr>
          <w:rFonts w:ascii="Arial" w:cs="Arial" w:eastAsia="Arial" w:hAnsi="Arial"/>
          <w:b/>
          <w:bCs/>
          <w:color w:val="1A140A"/>
          <w:sz w:val="24"/>
          <w:szCs w:val="24"/>
        </w:rPr>
        <w:t xml:space="preserve">Stat Cards</w:t>
      </w:r>
    </w:p>
    <w:p>
      <w:pPr>
        <w:spacing w:after="80" w:before="60"/>
      </w:pPr>
      <w:r>
        <w:rPr>
          <w:rFonts w:ascii="Arial" w:cs="Arial" w:eastAsia="Arial" w:hAnsi="Arial"/>
          <w:b w:val="false"/>
          <w:bCs w:val="false"/>
          <w:i w:val="false"/>
          <w:iCs w:val="false"/>
          <w:color w:val="1A140A"/>
          <w:sz w:val="22"/>
          <w:szCs w:val="22"/>
        </w:rPr>
        <w:t xml:space="preserve">Six key metrics displayed at the top of the dashboard, filtered to the active account: Total P&amp;L, Win Rate, Profit Factor, Open Positions, Best Trade, and Worst Trade.</w:t>
      </w:r>
    </w:p>
    <w:p>
      <w:pPr>
        <w:spacing w:after="0" w:before="80"/>
      </w:pPr>
    </w:p>
    <w:p>
      <w:pPr>
        <w:pStyle w:val="Heading2"/>
        <w:spacing w:after="80" w:before="240"/>
      </w:pPr>
      <w:r>
        <w:rPr>
          <w:rFonts w:ascii="Arial" w:cs="Arial" w:eastAsia="Arial" w:hAnsi="Arial"/>
          <w:b/>
          <w:bCs/>
          <w:color w:val="1A140A"/>
          <w:sz w:val="24"/>
          <w:szCs w:val="24"/>
        </w:rPr>
        <w:t xml:space="preserve">Session Progress Bar</w:t>
      </w:r>
    </w:p>
    <w:p>
      <w:pPr>
        <w:spacing w:after="80" w:before="60"/>
      </w:pPr>
      <w:r>
        <w:rPr>
          <w:rFonts w:ascii="Arial" w:cs="Arial" w:eastAsia="Arial" w:hAnsi="Arial"/>
          <w:b w:val="false"/>
          <w:bCs w:val="false"/>
          <w:i w:val="false"/>
          <w:iCs w:val="false"/>
          <w:color w:val="1A140A"/>
          <w:sz w:val="22"/>
          <w:szCs w:val="22"/>
        </w:rPr>
        <w:t xml:space="preserve">A live progress bar shows how much of the 07:00–12:00 ET trading window has passed. It counts down live and shows time remaining or time until session opens.</w:t>
      </w:r>
    </w:p>
    <w:p>
      <w:pPr>
        <w:pBdr>
          <w:bottom w:val="single" w:color="DDD5C5" w:sz="4" w:space="1"/>
        </w:pBdr>
        <w:spacing w:after="120" w:before="120"/>
      </w:pPr>
    </w:p>
    <w:p>
      <w:pPr>
        <w:pStyle w:val="Heading1"/>
        <w:pBdr>
          <w:bottom w:val="single" w:color="C28A1A" w:sz="8" w:space="6"/>
        </w:pBdr>
        <w:spacing w:after="120" w:before="320"/>
      </w:pPr>
      <w:r>
        <w:rPr>
          <w:rFonts w:ascii="Arial" w:cs="Arial" w:eastAsia="Arial" w:hAnsi="Arial"/>
          <w:b/>
          <w:bCs/>
          <w:color w:val="8B5E0A"/>
          <w:sz w:val="32"/>
          <w:szCs w:val="32"/>
        </w:rPr>
        <w:t xml:space="preserve">Track Tab — Portfolio / Calendar / Analytics</w:t>
      </w:r>
    </w:p>
    <w:p>
      <w:pPr>
        <w:pStyle w:val="Heading2"/>
        <w:spacing w:after="80" w:before="240"/>
      </w:pPr>
      <w:r>
        <w:rPr>
          <w:rFonts w:ascii="Arial" w:cs="Arial" w:eastAsia="Arial" w:hAnsi="Arial"/>
          <w:b/>
          <w:bCs/>
          <w:color w:val="1A140A"/>
          <w:sz w:val="24"/>
          <w:szCs w:val="24"/>
        </w:rPr>
        <w:t xml:space="preserve">Portfolio Sub-Tab</w:t>
      </w:r>
    </w:p>
    <w:p>
      <w:pPr>
        <w:spacing w:after="80" w:before="60"/>
      </w:pPr>
      <w:r>
        <w:rPr>
          <w:rFonts w:ascii="Arial" w:cs="Arial" w:eastAsia="Arial" w:hAnsi="Arial"/>
          <w:b w:val="false"/>
          <w:bCs w:val="false"/>
          <w:i w:val="false"/>
          <w:iCs w:val="false"/>
          <w:color w:val="1A140A"/>
          <w:sz w:val="22"/>
          <w:szCs w:val="22"/>
        </w:rPr>
        <w:t xml:space="preserve">Shows total balance across all accounts combined. Individual account cards display each account's balance, net P&amp;L, win rate, profit factor, and trade count. Clicking an account card switches the active account filter and goes to the Dashboard. A 'Today Across All Accounts' panel shows today's trades regardless of account filter.</w:t>
      </w:r>
    </w:p>
    <w:p>
      <w:pPr>
        <w:spacing w:after="0" w:before="80"/>
      </w:pPr>
    </w:p>
    <w:p>
      <w:pPr>
        <w:pStyle w:val="Heading2"/>
        <w:spacing w:after="80" w:before="240"/>
      </w:pPr>
      <w:r>
        <w:rPr>
          <w:rFonts w:ascii="Arial" w:cs="Arial" w:eastAsia="Arial" w:hAnsi="Arial"/>
          <w:b/>
          <w:bCs/>
          <w:color w:val="1A140A"/>
          <w:sz w:val="24"/>
          <w:szCs w:val="24"/>
        </w:rPr>
        <w:t xml:space="preserve">Calendar Sub-Tab</w:t>
      </w:r>
    </w:p>
    <w:p>
      <w:pPr>
        <w:spacing w:after="80" w:before="60"/>
      </w:pPr>
      <w:r>
        <w:rPr>
          <w:rFonts w:ascii="Arial" w:cs="Arial" w:eastAsia="Arial" w:hAnsi="Arial"/>
          <w:b w:val="false"/>
          <w:bCs w:val="false"/>
          <w:i w:val="false"/>
          <w:iCs w:val="false"/>
          <w:color w:val="1A140A"/>
          <w:sz w:val="22"/>
          <w:szCs w:val="22"/>
        </w:rPr>
        <w:t xml:space="preserve">Monthly calendar view. Each day with closed trades shows a color-coded P&amp;L cell — green for profit, red for loss. Clicking a day shows a breakdown of all trades for that date including instrument, direction, entry, exit, and P&amp;L. Includes account balance, net profit, and max drawdown display at the top.</w:t>
      </w:r>
    </w:p>
    <w:p>
      <w:pPr>
        <w:spacing w:after="0" w:before="80"/>
      </w:pPr>
    </w:p>
    <w:p>
      <w:pPr>
        <w:pStyle w:val="Heading2"/>
        <w:spacing w:after="80" w:before="240"/>
      </w:pPr>
      <w:r>
        <w:rPr>
          <w:rFonts w:ascii="Arial" w:cs="Arial" w:eastAsia="Arial" w:hAnsi="Arial"/>
          <w:b/>
          <w:bCs/>
          <w:color w:val="1A140A"/>
          <w:sz w:val="24"/>
          <w:szCs w:val="24"/>
        </w:rPr>
        <w:t xml:space="preserve">Analytics Sub-Tab</w:t>
      </w:r>
    </w:p>
    <w:p>
      <w:pPr>
        <w:spacing w:after="80" w:before="60"/>
      </w:pPr>
      <w:r>
        <w:rPr>
          <w:rFonts w:ascii="Arial" w:cs="Arial" w:eastAsia="Arial" w:hAnsi="Arial"/>
          <w:b w:val="false"/>
          <w:bCs w:val="false"/>
          <w:i w:val="false"/>
          <w:iCs w:val="false"/>
          <w:color w:val="1A140A"/>
          <w:sz w:val="22"/>
          <w:szCs w:val="22"/>
        </w:rPr>
        <w:t xml:space="preserve">Full performance analytics with the following data and charts:</w:t>
      </w:r>
    </w:p>
    <w:p>
      <w:pPr>
        <w:pStyle w:val="ListParagraph"/>
        <w:numPr>
          <w:ilvl w:val="0"/>
          <w:numId w:val="2"/>
        </w:numPr>
        <w:spacing w:after="40" w:before="40"/>
      </w:pPr>
      <w:r>
        <w:rPr>
          <w:rFonts w:ascii="Arial" w:cs="Arial" w:eastAsia="Arial" w:hAnsi="Arial"/>
          <w:color w:val="1A140A"/>
          <w:sz w:val="22"/>
          <w:szCs w:val="22"/>
        </w:rPr>
        <w:t xml:space="preserve">Net P&amp;L, Win Rate, Average Win, Average Loss</w:t>
      </w:r>
    </w:p>
    <w:p>
      <w:pPr>
        <w:pStyle w:val="ListParagraph"/>
        <w:numPr>
          <w:ilvl w:val="0"/>
          <w:numId w:val="2"/>
        </w:numPr>
        <w:spacing w:after="40" w:before="40"/>
      </w:pPr>
      <w:r>
        <w:rPr>
          <w:rFonts w:ascii="Arial" w:cs="Arial" w:eastAsia="Arial" w:hAnsi="Arial"/>
          <w:color w:val="1A140A"/>
          <w:sz w:val="22"/>
          <w:szCs w:val="22"/>
        </w:rPr>
        <w:t xml:space="preserve">Max Consecutive Wins and Losses</w:t>
      </w:r>
    </w:p>
    <w:p>
      <w:pPr>
        <w:pStyle w:val="ListParagraph"/>
        <w:numPr>
          <w:ilvl w:val="0"/>
          <w:numId w:val="2"/>
        </w:numPr>
        <w:spacing w:after="40" w:before="40"/>
      </w:pPr>
      <w:r>
        <w:rPr>
          <w:rFonts w:ascii="Arial" w:cs="Arial" w:eastAsia="Arial" w:hAnsi="Arial"/>
          <w:color w:val="1A140A"/>
          <w:sz w:val="22"/>
          <w:szCs w:val="22"/>
        </w:rPr>
        <w:t xml:space="preserve">Equity curve chart — running balance over time</w:t>
      </w:r>
    </w:p>
    <w:p>
      <w:pPr>
        <w:pStyle w:val="ListParagraph"/>
        <w:numPr>
          <w:ilvl w:val="0"/>
          <w:numId w:val="2"/>
        </w:numPr>
        <w:spacing w:after="40" w:before="40"/>
      </w:pPr>
      <w:r>
        <w:rPr>
          <w:rFonts w:ascii="Arial" w:cs="Arial" w:eastAsia="Arial" w:hAnsi="Arial"/>
          <w:color w:val="1A140A"/>
          <w:sz w:val="22"/>
          <w:szCs w:val="22"/>
        </w:rPr>
        <w:t xml:space="preserve">Day of Week P&amp;L chart — which days are profitable</w:t>
      </w:r>
    </w:p>
    <w:p>
      <w:pPr>
        <w:pStyle w:val="ListParagraph"/>
        <w:numPr>
          <w:ilvl w:val="0"/>
          <w:numId w:val="2"/>
        </w:numPr>
        <w:spacing w:after="40" w:before="40"/>
      </w:pPr>
      <w:r>
        <w:rPr>
          <w:rFonts w:ascii="Arial" w:cs="Arial" w:eastAsia="Arial" w:hAnsi="Arial"/>
          <w:color w:val="1A140A"/>
          <w:sz w:val="22"/>
          <w:szCs w:val="22"/>
        </w:rPr>
        <w:t xml:space="preserve">Hour of Day chart — best and worst trading hours</w:t>
      </w:r>
    </w:p>
    <w:p>
      <w:pPr>
        <w:pStyle w:val="ListParagraph"/>
        <w:numPr>
          <w:ilvl w:val="0"/>
          <w:numId w:val="2"/>
        </w:numPr>
        <w:spacing w:after="40" w:before="40"/>
      </w:pPr>
      <w:r>
        <w:rPr>
          <w:rFonts w:ascii="Arial" w:cs="Arial" w:eastAsia="Arial" w:hAnsi="Arial"/>
          <w:color w:val="1A140A"/>
          <w:sz w:val="22"/>
          <w:szCs w:val="22"/>
        </w:rPr>
        <w:t xml:space="preserve">Instrument P&amp;L chart — which assets perform best</w:t>
      </w:r>
    </w:p>
    <w:p>
      <w:pPr>
        <w:pStyle w:val="ListParagraph"/>
        <w:numPr>
          <w:ilvl w:val="0"/>
          <w:numId w:val="2"/>
        </w:numPr>
        <w:spacing w:after="40" w:before="40"/>
      </w:pPr>
      <w:r>
        <w:rPr>
          <w:rFonts w:ascii="Arial" w:cs="Arial" w:eastAsia="Arial" w:hAnsi="Arial"/>
          <w:color w:val="1A140A"/>
          <w:sz w:val="22"/>
          <w:szCs w:val="22"/>
        </w:rPr>
        <w:t xml:space="preserve">Setup Type P&amp;L chart — which setups generate the most profit</w:t>
      </w:r>
    </w:p>
    <w:p>
      <w:pPr>
        <w:pStyle w:val="ListParagraph"/>
        <w:numPr>
          <w:ilvl w:val="0"/>
          <w:numId w:val="2"/>
        </w:numPr>
        <w:spacing w:after="40" w:before="40"/>
      </w:pPr>
      <w:r>
        <w:rPr>
          <w:rFonts w:ascii="Arial" w:cs="Arial" w:eastAsia="Arial" w:hAnsi="Arial"/>
          <w:color w:val="1A140A"/>
          <w:sz w:val="22"/>
          <w:szCs w:val="22"/>
        </w:rPr>
        <w:t xml:space="preserve">Monthly heatmap — color-coded month-by-month P&amp;L grid</w:t>
      </w:r>
    </w:p>
    <w:p>
      <w:pPr>
        <w:pBdr>
          <w:bottom w:val="single" w:color="DDD5C5" w:sz="4" w:space="1"/>
        </w:pBdr>
        <w:spacing w:after="120" w:before="120"/>
      </w:pPr>
    </w:p>
    <w:p>
      <w:pPr>
        <w:pStyle w:val="Heading1"/>
        <w:pBdr>
          <w:bottom w:val="single" w:color="C28A1A" w:sz="8" w:space="6"/>
        </w:pBdr>
        <w:spacing w:after="120" w:before="320"/>
      </w:pPr>
      <w:r>
        <w:rPr>
          <w:rFonts w:ascii="Arial" w:cs="Arial" w:eastAsia="Arial" w:hAnsi="Arial"/>
          <w:b/>
          <w:bCs/>
          <w:color w:val="8B5E0A"/>
          <w:sz w:val="32"/>
          <w:szCs w:val="32"/>
        </w:rPr>
        <w:t xml:space="preserve">Log Tab — Daily / Journal / Macro</w:t>
      </w:r>
    </w:p>
    <w:p>
      <w:pPr>
        <w:pStyle w:val="Heading2"/>
        <w:spacing w:after="80" w:before="240"/>
      </w:pPr>
      <w:r>
        <w:rPr>
          <w:rFonts w:ascii="Arial" w:cs="Arial" w:eastAsia="Arial" w:hAnsi="Arial"/>
          <w:b/>
          <w:bCs/>
          <w:color w:val="1A140A"/>
          <w:sz w:val="24"/>
          <w:szCs w:val="24"/>
        </w:rPr>
        <w:t xml:space="preserve">Daily Sub-Tab</w:t>
      </w:r>
    </w:p>
    <w:p>
      <w:pPr>
        <w:spacing w:after="80" w:before="60"/>
      </w:pPr>
      <w:r>
        <w:rPr>
          <w:rFonts w:ascii="Arial" w:cs="Arial" w:eastAsia="Arial" w:hAnsi="Arial"/>
          <w:b w:val="false"/>
          <w:bCs w:val="false"/>
          <w:i w:val="false"/>
          <w:iCs w:val="false"/>
          <w:color w:val="1A140A"/>
          <w:sz w:val="22"/>
          <w:szCs w:val="22"/>
        </w:rPr>
        <w:t xml:space="preserve">Date-specific daily log. Includes a session checklist (separate from the trade checklist — focuses on process adherence), a game plan text field, and a mood/emotion rating. Useful for end-of-day review: what happened, was the plan followed, what was the mental state throughout.</w:t>
      </w:r>
    </w:p>
    <w:p>
      <w:pPr>
        <w:spacing w:after="0" w:before="80"/>
      </w:pPr>
    </w:p>
    <w:p>
      <w:pPr>
        <w:pStyle w:val="Heading2"/>
        <w:spacing w:after="80" w:before="240"/>
      </w:pPr>
      <w:r>
        <w:rPr>
          <w:rFonts w:ascii="Arial" w:cs="Arial" w:eastAsia="Arial" w:hAnsi="Arial"/>
          <w:b/>
          <w:bCs/>
          <w:color w:val="1A140A"/>
          <w:sz w:val="24"/>
          <w:szCs w:val="24"/>
        </w:rPr>
        <w:t xml:space="preserve">Journal Sub-Tab</w:t>
      </w:r>
    </w:p>
    <w:p>
      <w:pPr>
        <w:spacing w:after="80" w:before="60"/>
      </w:pPr>
      <w:r>
        <w:rPr>
          <w:rFonts w:ascii="Arial" w:cs="Arial" w:eastAsia="Arial" w:hAnsi="Arial"/>
          <w:b w:val="false"/>
          <w:bCs w:val="false"/>
          <w:i w:val="false"/>
          <w:iCs w:val="false"/>
          <w:color w:val="1A140A"/>
          <w:sz w:val="22"/>
          <w:szCs w:val="22"/>
        </w:rPr>
        <w:t xml:space="preserve">Freeform trading journal. Each entry records date, result quality, plan compliance, emotion rating (1–10), journal text, and a key lesson takeaway. Entries display in reverse chronological order. Searchable by scrolling. Deletable per entry.</w:t>
      </w:r>
    </w:p>
    <w:p>
      <w:pPr>
        <w:spacing w:after="0" w:before="80"/>
      </w:pPr>
    </w:p>
    <w:p>
      <w:pPr>
        <w:pStyle w:val="Heading2"/>
        <w:spacing w:after="80" w:before="240"/>
      </w:pPr>
      <w:r>
        <w:rPr>
          <w:rFonts w:ascii="Arial" w:cs="Arial" w:eastAsia="Arial" w:hAnsi="Arial"/>
          <w:b/>
          <w:bCs/>
          <w:color w:val="1A140A"/>
          <w:sz w:val="24"/>
          <w:szCs w:val="24"/>
        </w:rPr>
        <w:t xml:space="preserve">Macro Sub-Tab</w:t>
      </w:r>
    </w:p>
    <w:p>
      <w:pPr>
        <w:spacing w:after="80" w:before="60"/>
      </w:pPr>
      <w:r>
        <w:rPr>
          <w:rFonts w:ascii="Arial" w:cs="Arial" w:eastAsia="Arial" w:hAnsi="Arial"/>
          <w:b w:val="false"/>
          <w:bCs w:val="false"/>
          <w:i w:val="false"/>
          <w:iCs w:val="false"/>
          <w:color w:val="1A140A"/>
          <w:sz w:val="22"/>
          <w:szCs w:val="22"/>
        </w:rPr>
        <w:t xml:space="preserve">Session macro setup form. Saved per date. Fields include DXY level and direction, session bias, upcoming news event, speculation thesis, reaction plan, and a session summary. Data from this form populates the 'Macro Snapshot' panel on the Dashboard.</w:t>
      </w:r>
    </w:p>
    <w:p>
      <w:pPr>
        <w:pBdr>
          <w:bottom w:val="single" w:color="DDD5C5" w:sz="4" w:space="1"/>
        </w:pBdr>
        <w:spacing w:after="120" w:before="120"/>
      </w:pPr>
    </w:p>
    <w:p>
      <w:pPr>
        <w:pStyle w:val="Heading1"/>
        <w:pBdr>
          <w:bottom w:val="single" w:color="C28A1A" w:sz="8" w:space="6"/>
        </w:pBdr>
        <w:spacing w:after="120" w:before="320"/>
      </w:pPr>
      <w:r>
        <w:rPr>
          <w:rFonts w:ascii="Arial" w:cs="Arial" w:eastAsia="Arial" w:hAnsi="Arial"/>
          <w:b/>
          <w:bCs/>
          <w:color w:val="8B5E0A"/>
          <w:sz w:val="32"/>
          <w:szCs w:val="32"/>
        </w:rPr>
        <w:t xml:space="preserve">Knowledge Base</w:t>
      </w:r>
    </w:p>
    <w:p>
      <w:pPr>
        <w:spacing w:after="80" w:before="60"/>
      </w:pPr>
      <w:r>
        <w:rPr>
          <w:rFonts w:ascii="Arial" w:cs="Arial" w:eastAsia="Arial" w:hAnsi="Arial"/>
          <w:b w:val="false"/>
          <w:bCs w:val="false"/>
          <w:i w:val="false"/>
          <w:iCs w:val="false"/>
          <w:color w:val="1A140A"/>
          <w:sz w:val="22"/>
          <w:szCs w:val="22"/>
        </w:rPr>
        <w:t xml:space="preserve">The KB tab contains the complete HiddenOS trading system in readable format, plus a curated library of trading and mindset books. It is designed to be read before uncertain sessions or when reviewing system fundamentals.</w:t>
      </w:r>
    </w:p>
    <w:p>
      <w:pPr>
        <w:spacing w:after="0" w:before="80"/>
      </w:pPr>
    </w:p>
    <w:p>
      <w:pPr>
        <w:pStyle w:val="Heading2"/>
        <w:spacing w:after="80" w:before="240"/>
      </w:pPr>
      <w:r>
        <w:rPr>
          <w:rFonts w:ascii="Arial" w:cs="Arial" w:eastAsia="Arial" w:hAnsi="Arial"/>
          <w:b/>
          <w:bCs/>
          <w:color w:val="1A140A"/>
          <w:sz w:val="24"/>
          <w:szCs w:val="24"/>
        </w:rPr>
        <w:t xml:space="preserve">Trading System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5C5" w:sz="1"/>
              <w:left w:val="single" w:color="DDD5C5" w:sz="1"/>
              <w:bottom w:val="single" w:color="DDD5C5" w:sz="1"/>
              <w:right w:val="single" w:color="DDD5C5" w:sz="1"/>
            </w:tcBorders>
            <w:shd w:fill="E8E1D4" w:val="clear"/>
            <w:tcMar>
              <w:top w:type="dxa" w:w="80"/>
              <w:left w:type="dxa" w:w="120"/>
              <w:bottom w:type="dxa" w:w="80"/>
              <w:right w:type="dxa" w:w="80"/>
            </w:tcMar>
          </w:tcPr>
          <w:p>
            <w:r>
              <w:rPr>
                <w:rFonts w:ascii="Arial" w:cs="Arial" w:eastAsia="Arial" w:hAnsi="Arial"/>
                <w:b/>
                <w:bCs/>
                <w:color w:val="8B5E0A"/>
                <w:sz w:val="18"/>
                <w:szCs w:val="18"/>
              </w:rPr>
              <w:t xml:space="preserve">SECTION</w:t>
            </w:r>
          </w:p>
        </w:tc>
        <w:tc>
          <w:tcPr>
            <w:tcW w:type="dxa" w:w="6160"/>
            <w:tcBorders>
              <w:top w:val="single" w:color="DDD5C5" w:sz="1"/>
              <w:left w:val="single" w:color="DDD5C5" w:sz="1"/>
              <w:bottom w:val="single" w:color="DDD5C5" w:sz="1"/>
              <w:right w:val="single" w:color="DDD5C5" w:sz="1"/>
            </w:tcBorders>
            <w:shd w:fill="E8E1D4" w:val="clear"/>
            <w:tcMar>
              <w:top w:type="dxa" w:w="80"/>
              <w:left w:type="dxa" w:w="120"/>
              <w:bottom w:type="dxa" w:w="80"/>
              <w:right w:type="dxa" w:w="120"/>
            </w:tcMar>
          </w:tcPr>
          <w:p>
            <w:r>
              <w:rPr>
                <w:rFonts w:ascii="Arial" w:cs="Arial" w:eastAsia="Arial" w:hAnsi="Arial"/>
                <w:b/>
                <w:bCs/>
                <w:color w:val="8B5E0A"/>
                <w:sz w:val="18"/>
                <w:szCs w:val="18"/>
              </w:rPr>
              <w:t xml:space="preserve">CONTENT OVERVIEW</w:t>
            </w:r>
          </w:p>
        </w:tc>
      </w:tr>
      <w:tr>
        <w:tc>
          <w:tcPr>
            <w:tcW w:type="dxa" w:w="3200"/>
            <w:tcBorders>
              <w:top w:val="single" w:color="DDD5C5" w:sz="1"/>
              <w:left w:val="single" w:color="DDD5C5" w:sz="1"/>
              <w:bottom w:val="single" w:color="DDD5C5" w:sz="1"/>
              <w:right w:val="single" w:color="DDD5C5" w:sz="1"/>
            </w:tcBorders>
            <w:tcMar>
              <w:top w:type="dxa" w:w="60"/>
              <w:left w:type="dxa" w:w="120"/>
              <w:bottom w:type="dxa" w:w="60"/>
              <w:right w:type="dxa" w:w="80"/>
            </w:tcMar>
          </w:tcPr>
          <w:p>
            <w:r>
              <w:rPr>
                <w:rFonts w:ascii="Arial" w:cs="Arial" w:eastAsia="Arial" w:hAnsi="Arial"/>
                <w:b/>
                <w:bCs/>
                <w:color w:val="C28A1A"/>
                <w:sz w:val="20"/>
                <w:szCs w:val="20"/>
              </w:rPr>
              <w:t xml:space="preserve">System Architecture</w:t>
            </w:r>
          </w:p>
        </w:tc>
        <w:tc>
          <w:tcPr>
            <w:tcW w:type="dxa" w:w="6160"/>
            <w:tcBorders>
              <w:top w:val="single" w:color="DDD5C5" w:sz="1"/>
              <w:left w:val="single" w:color="DDD5C5" w:sz="1"/>
              <w:bottom w:val="single" w:color="DDD5C5" w:sz="1"/>
              <w:right w:val="single" w:color="DDD5C5" w:sz="1"/>
            </w:tcBorders>
            <w:tcMar>
              <w:top w:type="dxa" w:w="60"/>
              <w:left w:type="dxa" w:w="120"/>
              <w:bottom w:type="dxa" w:w="60"/>
              <w:right w:type="dxa" w:w="120"/>
            </w:tcMar>
          </w:tcPr>
          <w:p>
            <w:r>
              <w:rPr>
                <w:rFonts w:ascii="Arial" w:cs="Arial" w:eastAsia="Arial" w:hAnsi="Arial"/>
                <w:color w:val="7A6848"/>
                <w:sz w:val="20"/>
                <w:szCs w:val="20"/>
              </w:rPr>
              <w:t xml:space="preserve">Top-down execution stack — Macro → HTF POI → LTF confirmation → 3M execution</w:t>
            </w:r>
          </w:p>
        </w:tc>
      </w:tr>
      <w:tr>
        <w:tc>
          <w:tcPr>
            <w:tcW w:type="dxa" w:w="3200"/>
            <w:tcBorders>
              <w:top w:val="single" w:color="DDD5C5" w:sz="1"/>
              <w:left w:val="single" w:color="DDD5C5" w:sz="1"/>
              <w:bottom w:val="single" w:color="DDD5C5" w:sz="1"/>
              <w:right w:val="single" w:color="DDD5C5" w:sz="1"/>
            </w:tcBorders>
            <w:tcMar>
              <w:top w:type="dxa" w:w="60"/>
              <w:left w:type="dxa" w:w="120"/>
              <w:bottom w:type="dxa" w:w="60"/>
              <w:right w:type="dxa" w:w="80"/>
            </w:tcMar>
          </w:tcPr>
          <w:p>
            <w:r>
              <w:rPr>
                <w:rFonts w:ascii="Arial" w:cs="Arial" w:eastAsia="Arial" w:hAnsi="Arial"/>
                <w:b/>
                <w:bCs/>
                <w:color w:val="C28A1A"/>
                <w:sz w:val="20"/>
                <w:szCs w:val="20"/>
              </w:rPr>
              <w:t xml:space="preserve">HTF POIs</w:t>
            </w:r>
          </w:p>
        </w:tc>
        <w:tc>
          <w:tcPr>
            <w:tcW w:type="dxa" w:w="6160"/>
            <w:tcBorders>
              <w:top w:val="single" w:color="DDD5C5" w:sz="1"/>
              <w:left w:val="single" w:color="DDD5C5" w:sz="1"/>
              <w:bottom w:val="single" w:color="DDD5C5" w:sz="1"/>
              <w:right w:val="single" w:color="DDD5C5" w:sz="1"/>
            </w:tcBorders>
            <w:tcMar>
              <w:top w:type="dxa" w:w="60"/>
              <w:left w:type="dxa" w:w="120"/>
              <w:bottom w:type="dxa" w:w="60"/>
              <w:right w:type="dxa" w:w="120"/>
            </w:tcMar>
          </w:tcPr>
          <w:p>
            <w:r>
              <w:rPr>
                <w:rFonts w:ascii="Arial" w:cs="Arial" w:eastAsia="Arial" w:hAnsi="Arial"/>
                <w:color w:val="7A6848"/>
                <w:sz w:val="20"/>
                <w:szCs w:val="20"/>
              </w:rPr>
              <w:t xml:space="preserve">Order Block, FVG, iFVG — definitions, entry logic, SL placement, quality filters</w:t>
            </w:r>
          </w:p>
        </w:tc>
      </w:tr>
      <w:tr>
        <w:tc>
          <w:tcPr>
            <w:tcW w:type="dxa" w:w="3200"/>
            <w:tcBorders>
              <w:top w:val="single" w:color="DDD5C5" w:sz="1"/>
              <w:left w:val="single" w:color="DDD5C5" w:sz="1"/>
              <w:bottom w:val="single" w:color="DDD5C5" w:sz="1"/>
              <w:right w:val="single" w:color="DDD5C5" w:sz="1"/>
            </w:tcBorders>
            <w:tcMar>
              <w:top w:type="dxa" w:w="60"/>
              <w:left w:type="dxa" w:w="120"/>
              <w:bottom w:type="dxa" w:w="60"/>
              <w:right w:type="dxa" w:w="80"/>
            </w:tcMar>
          </w:tcPr>
          <w:p>
            <w:r>
              <w:rPr>
                <w:rFonts w:ascii="Arial" w:cs="Arial" w:eastAsia="Arial" w:hAnsi="Arial"/>
                <w:b/>
                <w:bCs/>
                <w:color w:val="C28A1A"/>
                <w:sz w:val="20"/>
                <w:szCs w:val="20"/>
              </w:rPr>
              <w:t xml:space="preserve">LTF Confirmation</w:t>
            </w:r>
          </w:p>
        </w:tc>
        <w:tc>
          <w:tcPr>
            <w:tcW w:type="dxa" w:w="6160"/>
            <w:tcBorders>
              <w:top w:val="single" w:color="DDD5C5" w:sz="1"/>
              <w:left w:val="single" w:color="DDD5C5" w:sz="1"/>
              <w:bottom w:val="single" w:color="DDD5C5" w:sz="1"/>
              <w:right w:val="single" w:color="DDD5C5" w:sz="1"/>
            </w:tcBorders>
            <w:tcMar>
              <w:top w:type="dxa" w:w="60"/>
              <w:left w:type="dxa" w:w="120"/>
              <w:bottom w:type="dxa" w:w="60"/>
              <w:right w:type="dxa" w:w="120"/>
            </w:tcMar>
          </w:tcPr>
          <w:p>
            <w:r>
              <w:rPr>
                <w:rFonts w:ascii="Arial" w:cs="Arial" w:eastAsia="Arial" w:hAnsi="Arial"/>
                <w:color w:val="7A6848"/>
                <w:sz w:val="20"/>
                <w:szCs w:val="20"/>
              </w:rPr>
              <w:t xml:space="preserve">BOS vs ChoCh — when to act and when to wait, multi-timeframe rules</w:t>
            </w:r>
          </w:p>
        </w:tc>
      </w:tr>
      <w:tr>
        <w:tc>
          <w:tcPr>
            <w:tcW w:type="dxa" w:w="3200"/>
            <w:tcBorders>
              <w:top w:val="single" w:color="DDD5C5" w:sz="1"/>
              <w:left w:val="single" w:color="DDD5C5" w:sz="1"/>
              <w:bottom w:val="single" w:color="DDD5C5" w:sz="1"/>
              <w:right w:val="single" w:color="DDD5C5" w:sz="1"/>
            </w:tcBorders>
            <w:tcMar>
              <w:top w:type="dxa" w:w="60"/>
              <w:left w:type="dxa" w:w="120"/>
              <w:bottom w:type="dxa" w:w="60"/>
              <w:right w:type="dxa" w:w="80"/>
            </w:tcMar>
          </w:tcPr>
          <w:p>
            <w:r>
              <w:rPr>
                <w:rFonts w:ascii="Arial" w:cs="Arial" w:eastAsia="Arial" w:hAnsi="Arial"/>
                <w:b/>
                <w:bCs/>
                <w:color w:val="C28A1A"/>
                <w:sz w:val="20"/>
                <w:szCs w:val="20"/>
              </w:rPr>
              <w:t xml:space="preserve">Setup Library</w:t>
            </w:r>
          </w:p>
        </w:tc>
        <w:tc>
          <w:tcPr>
            <w:tcW w:type="dxa" w:w="6160"/>
            <w:tcBorders>
              <w:top w:val="single" w:color="DDD5C5" w:sz="1"/>
              <w:left w:val="single" w:color="DDD5C5" w:sz="1"/>
              <w:bottom w:val="single" w:color="DDD5C5" w:sz="1"/>
              <w:right w:val="single" w:color="DDD5C5" w:sz="1"/>
            </w:tcBorders>
            <w:tcMar>
              <w:top w:type="dxa" w:w="60"/>
              <w:left w:type="dxa" w:w="120"/>
              <w:bottom w:type="dxa" w:w="60"/>
              <w:right w:type="dxa" w:w="120"/>
            </w:tcMar>
          </w:tcPr>
          <w:p>
            <w:r>
              <w:rPr>
                <w:rFonts w:ascii="Arial" w:cs="Arial" w:eastAsia="Arial" w:hAnsi="Arial"/>
                <w:color w:val="7A6848"/>
                <w:sz w:val="20"/>
                <w:szCs w:val="20"/>
              </w:rPr>
              <w:t xml:space="preserve">All named setups with entry logic, filters, RR expectations, and execution notes</w:t>
            </w:r>
          </w:p>
        </w:tc>
      </w:tr>
      <w:tr>
        <w:tc>
          <w:tcPr>
            <w:tcW w:type="dxa" w:w="3200"/>
            <w:tcBorders>
              <w:top w:val="single" w:color="DDD5C5" w:sz="1"/>
              <w:left w:val="single" w:color="DDD5C5" w:sz="1"/>
              <w:bottom w:val="single" w:color="DDD5C5" w:sz="1"/>
              <w:right w:val="single" w:color="DDD5C5" w:sz="1"/>
            </w:tcBorders>
            <w:tcMar>
              <w:top w:type="dxa" w:w="60"/>
              <w:left w:type="dxa" w:w="120"/>
              <w:bottom w:type="dxa" w:w="60"/>
              <w:right w:type="dxa" w:w="80"/>
            </w:tcMar>
          </w:tcPr>
          <w:p>
            <w:r>
              <w:rPr>
                <w:rFonts w:ascii="Arial" w:cs="Arial" w:eastAsia="Arial" w:hAnsi="Arial"/>
                <w:b/>
                <w:bCs/>
                <w:color w:val="C28A1A"/>
                <w:sz w:val="20"/>
                <w:szCs w:val="20"/>
              </w:rPr>
              <w:t xml:space="preserve">Fibonacci</w:t>
            </w:r>
          </w:p>
        </w:tc>
        <w:tc>
          <w:tcPr>
            <w:tcW w:type="dxa" w:w="6160"/>
            <w:tcBorders>
              <w:top w:val="single" w:color="DDD5C5" w:sz="1"/>
              <w:left w:val="single" w:color="DDD5C5" w:sz="1"/>
              <w:bottom w:val="single" w:color="DDD5C5" w:sz="1"/>
              <w:right w:val="single" w:color="DDD5C5" w:sz="1"/>
            </w:tcBorders>
            <w:tcMar>
              <w:top w:type="dxa" w:w="60"/>
              <w:left w:type="dxa" w:w="120"/>
              <w:bottom w:type="dxa" w:w="60"/>
              <w:right w:type="dxa" w:w="120"/>
            </w:tcMar>
          </w:tcPr>
          <w:p>
            <w:r>
              <w:rPr>
                <w:rFonts w:ascii="Arial" w:cs="Arial" w:eastAsia="Arial" w:hAnsi="Arial"/>
                <w:color w:val="7A6848"/>
                <w:sz w:val="20"/>
                <w:szCs w:val="20"/>
              </w:rPr>
              <w:t xml:space="preserve">FVG 70.5% rule, key retracement levels, how Fibonacci aligns with institutional fill zones</w:t>
            </w:r>
          </w:p>
        </w:tc>
      </w:tr>
      <w:tr>
        <w:tc>
          <w:tcPr>
            <w:tcW w:type="dxa" w:w="3200"/>
            <w:tcBorders>
              <w:top w:val="single" w:color="DDD5C5" w:sz="1"/>
              <w:left w:val="single" w:color="DDD5C5" w:sz="1"/>
              <w:bottom w:val="single" w:color="DDD5C5" w:sz="1"/>
              <w:right w:val="single" w:color="DDD5C5" w:sz="1"/>
            </w:tcBorders>
            <w:tcMar>
              <w:top w:type="dxa" w:w="60"/>
              <w:left w:type="dxa" w:w="120"/>
              <w:bottom w:type="dxa" w:w="60"/>
              <w:right w:type="dxa" w:w="80"/>
            </w:tcMar>
          </w:tcPr>
          <w:p>
            <w:r>
              <w:rPr>
                <w:rFonts w:ascii="Arial" w:cs="Arial" w:eastAsia="Arial" w:hAnsi="Arial"/>
                <w:b/>
                <w:bCs/>
                <w:color w:val="C28A1A"/>
                <w:sz w:val="20"/>
                <w:szCs w:val="20"/>
              </w:rPr>
              <w:t xml:space="preserve">Wyckoff 2.0</w:t>
            </w:r>
          </w:p>
        </w:tc>
        <w:tc>
          <w:tcPr>
            <w:tcW w:type="dxa" w:w="6160"/>
            <w:tcBorders>
              <w:top w:val="single" w:color="DDD5C5" w:sz="1"/>
              <w:left w:val="single" w:color="DDD5C5" w:sz="1"/>
              <w:bottom w:val="single" w:color="DDD5C5" w:sz="1"/>
              <w:right w:val="single" w:color="DDD5C5" w:sz="1"/>
            </w:tcBorders>
            <w:tcMar>
              <w:top w:type="dxa" w:w="60"/>
              <w:left w:type="dxa" w:w="120"/>
              <w:bottom w:type="dxa" w:w="60"/>
              <w:right w:type="dxa" w:w="120"/>
            </w:tcMar>
          </w:tcPr>
          <w:p>
            <w:r>
              <w:rPr>
                <w:rFonts w:ascii="Arial" w:cs="Arial" w:eastAsia="Arial" w:hAnsi="Arial"/>
                <w:color w:val="7A6848"/>
                <w:sz w:val="20"/>
                <w:szCs w:val="20"/>
              </w:rPr>
              <w:t xml:space="preserve">Phase identification, accumulation/distribution, Spring and Upthrust mechanics</w:t>
            </w:r>
          </w:p>
        </w:tc>
      </w:tr>
      <w:tr>
        <w:tc>
          <w:tcPr>
            <w:tcW w:type="dxa" w:w="3200"/>
            <w:tcBorders>
              <w:top w:val="single" w:color="DDD5C5" w:sz="1"/>
              <w:left w:val="single" w:color="DDD5C5" w:sz="1"/>
              <w:bottom w:val="single" w:color="DDD5C5" w:sz="1"/>
              <w:right w:val="single" w:color="DDD5C5" w:sz="1"/>
            </w:tcBorders>
            <w:tcMar>
              <w:top w:type="dxa" w:w="60"/>
              <w:left w:type="dxa" w:w="120"/>
              <w:bottom w:type="dxa" w:w="60"/>
              <w:right w:type="dxa" w:w="80"/>
            </w:tcMar>
          </w:tcPr>
          <w:p>
            <w:r>
              <w:rPr>
                <w:rFonts w:ascii="Arial" w:cs="Arial" w:eastAsia="Arial" w:hAnsi="Arial"/>
                <w:b/>
                <w:bCs/>
                <w:color w:val="C28A1A"/>
                <w:sz w:val="20"/>
                <w:szCs w:val="20"/>
              </w:rPr>
              <w:t xml:space="preserve">Risk Rules</w:t>
            </w:r>
          </w:p>
        </w:tc>
        <w:tc>
          <w:tcPr>
            <w:tcW w:type="dxa" w:w="6160"/>
            <w:tcBorders>
              <w:top w:val="single" w:color="DDD5C5" w:sz="1"/>
              <w:left w:val="single" w:color="DDD5C5" w:sz="1"/>
              <w:bottom w:val="single" w:color="DDD5C5" w:sz="1"/>
              <w:right w:val="single" w:color="DDD5C5" w:sz="1"/>
            </w:tcBorders>
            <w:tcMar>
              <w:top w:type="dxa" w:w="60"/>
              <w:left w:type="dxa" w:w="120"/>
              <w:bottom w:type="dxa" w:w="60"/>
              <w:right w:type="dxa" w:w="120"/>
            </w:tcMar>
          </w:tcPr>
          <w:p>
            <w:r>
              <w:rPr>
                <w:rFonts w:ascii="Arial" w:cs="Arial" w:eastAsia="Arial" w:hAnsi="Arial"/>
                <w:color w:val="7A6848"/>
                <w:sz w:val="20"/>
                <w:szCs w:val="20"/>
              </w:rPr>
              <w:t xml:space="preserve">Session limits, position sizing, drawdown rules, VIX adjustments, news protocols</w:t>
            </w:r>
          </w:p>
        </w:tc>
      </w:tr>
      <w:tr>
        <w:tc>
          <w:tcPr>
            <w:tcW w:type="dxa" w:w="3200"/>
            <w:tcBorders>
              <w:top w:val="single" w:color="DDD5C5" w:sz="1"/>
              <w:left w:val="single" w:color="DDD5C5" w:sz="1"/>
              <w:bottom w:val="single" w:color="DDD5C5" w:sz="1"/>
              <w:right w:val="single" w:color="DDD5C5" w:sz="1"/>
            </w:tcBorders>
            <w:tcMar>
              <w:top w:type="dxa" w:w="60"/>
              <w:left w:type="dxa" w:w="120"/>
              <w:bottom w:type="dxa" w:w="60"/>
              <w:right w:type="dxa" w:w="80"/>
            </w:tcMar>
          </w:tcPr>
          <w:p>
            <w:r>
              <w:rPr>
                <w:rFonts w:ascii="Arial" w:cs="Arial" w:eastAsia="Arial" w:hAnsi="Arial"/>
                <w:b/>
                <w:bCs/>
                <w:color w:val="C28A1A"/>
                <w:sz w:val="20"/>
                <w:szCs w:val="20"/>
              </w:rPr>
              <w:t xml:space="preserve">Macro Guide</w:t>
            </w:r>
          </w:p>
        </w:tc>
        <w:tc>
          <w:tcPr>
            <w:tcW w:type="dxa" w:w="6160"/>
            <w:tcBorders>
              <w:top w:val="single" w:color="DDD5C5" w:sz="1"/>
              <w:left w:val="single" w:color="DDD5C5" w:sz="1"/>
              <w:bottom w:val="single" w:color="DDD5C5" w:sz="1"/>
              <w:right w:val="single" w:color="DDD5C5" w:sz="1"/>
            </w:tcBorders>
            <w:tcMar>
              <w:top w:type="dxa" w:w="60"/>
              <w:left w:type="dxa" w:w="120"/>
              <w:bottom w:type="dxa" w:w="60"/>
              <w:right w:type="dxa" w:w="120"/>
            </w:tcMar>
          </w:tcPr>
          <w:p>
            <w:r>
              <w:rPr>
                <w:rFonts w:ascii="Arial" w:cs="Arial" w:eastAsia="Arial" w:hAnsi="Arial"/>
                <w:color w:val="7A6848"/>
                <w:sz w:val="20"/>
                <w:szCs w:val="20"/>
              </w:rPr>
              <w:t xml:space="preserve">CPI, NFP, FOMC, PPI, DXY, VIX — expected asset reactions and trading protocols per event</w:t>
            </w:r>
          </w:p>
        </w:tc>
      </w:tr>
      <w:tr>
        <w:tc>
          <w:tcPr>
            <w:tcW w:type="dxa" w:w="3200"/>
            <w:tcBorders>
              <w:top w:val="single" w:color="DDD5C5" w:sz="1"/>
              <w:left w:val="single" w:color="DDD5C5" w:sz="1"/>
              <w:bottom w:val="single" w:color="DDD5C5" w:sz="1"/>
              <w:right w:val="single" w:color="DDD5C5" w:sz="1"/>
            </w:tcBorders>
            <w:tcMar>
              <w:top w:type="dxa" w:w="60"/>
              <w:left w:type="dxa" w:w="120"/>
              <w:bottom w:type="dxa" w:w="60"/>
              <w:right w:type="dxa" w:w="80"/>
            </w:tcMar>
          </w:tcPr>
          <w:p>
            <w:r>
              <w:rPr>
                <w:rFonts w:ascii="Arial" w:cs="Arial" w:eastAsia="Arial" w:hAnsi="Arial"/>
                <w:b/>
                <w:bCs/>
                <w:color w:val="C28A1A"/>
                <w:sz w:val="20"/>
                <w:szCs w:val="20"/>
              </w:rPr>
              <w:t xml:space="preserve">Morning Levels</w:t>
            </w:r>
          </w:p>
        </w:tc>
        <w:tc>
          <w:tcPr>
            <w:tcW w:type="dxa" w:w="6160"/>
            <w:tcBorders>
              <w:top w:val="single" w:color="DDD5C5" w:sz="1"/>
              <w:left w:val="single" w:color="DDD5C5" w:sz="1"/>
              <w:bottom w:val="single" w:color="DDD5C5" w:sz="1"/>
              <w:right w:val="single" w:color="DDD5C5" w:sz="1"/>
            </w:tcBorders>
            <w:tcMar>
              <w:top w:type="dxa" w:w="60"/>
              <w:left w:type="dxa" w:w="120"/>
              <w:bottom w:type="dxa" w:w="60"/>
              <w:right w:type="dxa" w:w="120"/>
            </w:tcMar>
          </w:tcPr>
          <w:p>
            <w:r>
              <w:rPr>
                <w:rFonts w:ascii="Arial" w:cs="Arial" w:eastAsia="Arial" w:hAnsi="Arial"/>
                <w:color w:val="7A6848"/>
                <w:sz w:val="20"/>
                <w:szCs w:val="20"/>
              </w:rPr>
              <w:t xml:space="preserve">What to mark before every session — PDH/PDL, PWH/PWL, monthly open, Asia session levels</w:t>
            </w:r>
          </w:p>
        </w:tc>
      </w:tr>
      <w:tr>
        <w:tc>
          <w:tcPr>
            <w:tcW w:type="dxa" w:w="3200"/>
            <w:tcBorders>
              <w:top w:val="single" w:color="DDD5C5" w:sz="1"/>
              <w:left w:val="single" w:color="DDD5C5" w:sz="1"/>
              <w:bottom w:val="single" w:color="DDD5C5" w:sz="1"/>
              <w:right w:val="single" w:color="DDD5C5" w:sz="1"/>
            </w:tcBorders>
            <w:tcMar>
              <w:top w:type="dxa" w:w="60"/>
              <w:left w:type="dxa" w:w="120"/>
              <w:bottom w:type="dxa" w:w="60"/>
              <w:right w:type="dxa" w:w="80"/>
            </w:tcMar>
          </w:tcPr>
          <w:p>
            <w:r>
              <w:rPr>
                <w:rFonts w:ascii="Arial" w:cs="Arial" w:eastAsia="Arial" w:hAnsi="Arial"/>
                <w:b/>
                <w:bCs/>
                <w:color w:val="C28A1A"/>
                <w:sz w:val="20"/>
                <w:szCs w:val="20"/>
              </w:rPr>
              <w:t xml:space="preserve">Gold (XAUUSD)</w:t>
            </w:r>
          </w:p>
        </w:tc>
        <w:tc>
          <w:tcPr>
            <w:tcW w:type="dxa" w:w="6160"/>
            <w:tcBorders>
              <w:top w:val="single" w:color="DDD5C5" w:sz="1"/>
              <w:left w:val="single" w:color="DDD5C5" w:sz="1"/>
              <w:bottom w:val="single" w:color="DDD5C5" w:sz="1"/>
              <w:right w:val="single" w:color="DDD5C5" w:sz="1"/>
            </w:tcBorders>
            <w:tcMar>
              <w:top w:type="dxa" w:w="60"/>
              <w:left w:type="dxa" w:w="120"/>
              <w:bottom w:type="dxa" w:w="60"/>
              <w:right w:type="dxa" w:w="120"/>
            </w:tcMar>
          </w:tcPr>
          <w:p>
            <w:r>
              <w:rPr>
                <w:rFonts w:ascii="Arial" w:cs="Arial" w:eastAsia="Arial" w:hAnsi="Arial"/>
                <w:color w:val="7A6848"/>
                <w:sz w:val="20"/>
                <w:szCs w:val="20"/>
              </w:rPr>
              <w:t xml:space="preserve">Dual-driver framework — inflation hedge vs. safe haven trade, when both align</w:t>
            </w:r>
          </w:p>
        </w:tc>
      </w:tr>
      <w:tr>
        <w:tc>
          <w:tcPr>
            <w:tcW w:type="dxa" w:w="3200"/>
            <w:tcBorders>
              <w:top w:val="single" w:color="DDD5C5" w:sz="1"/>
              <w:left w:val="single" w:color="DDD5C5" w:sz="1"/>
              <w:bottom w:val="single" w:color="DDD5C5" w:sz="1"/>
              <w:right w:val="single" w:color="DDD5C5" w:sz="1"/>
            </w:tcBorders>
            <w:tcMar>
              <w:top w:type="dxa" w:w="60"/>
              <w:left w:type="dxa" w:w="120"/>
              <w:bottom w:type="dxa" w:w="60"/>
              <w:right w:type="dxa" w:w="80"/>
            </w:tcMar>
          </w:tcPr>
          <w:p>
            <w:r>
              <w:rPr>
                <w:rFonts w:ascii="Arial" w:cs="Arial" w:eastAsia="Arial" w:hAnsi="Arial"/>
                <w:b/>
                <w:bCs/>
                <w:color w:val="C28A1A"/>
                <w:sz w:val="20"/>
                <w:szCs w:val="20"/>
              </w:rPr>
              <w:t xml:space="preserve">Quick Reference</w:t>
            </w:r>
          </w:p>
        </w:tc>
        <w:tc>
          <w:tcPr>
            <w:tcW w:type="dxa" w:w="6160"/>
            <w:tcBorders>
              <w:top w:val="single" w:color="DDD5C5" w:sz="1"/>
              <w:left w:val="single" w:color="DDD5C5" w:sz="1"/>
              <w:bottom w:val="single" w:color="DDD5C5" w:sz="1"/>
              <w:right w:val="single" w:color="DDD5C5" w:sz="1"/>
            </w:tcBorders>
            <w:tcMar>
              <w:top w:type="dxa" w:w="60"/>
              <w:left w:type="dxa" w:w="120"/>
              <w:bottom w:type="dxa" w:w="60"/>
              <w:right w:type="dxa" w:w="120"/>
            </w:tcMar>
          </w:tcPr>
          <w:p>
            <w:r>
              <w:rPr>
                <w:rFonts w:ascii="Arial" w:cs="Arial" w:eastAsia="Arial" w:hAnsi="Arial"/>
                <w:color w:val="7A6848"/>
                <w:sz w:val="20"/>
                <w:szCs w:val="20"/>
              </w:rPr>
              <w:t xml:space="preserve">Full event-to-asset reaction table — 16 macro scenarios with trade actions</w:t>
            </w:r>
          </w:p>
        </w:tc>
      </w:tr>
    </w:tbl>
    <w:p>
      <w:pPr>
        <w:spacing w:after="0" w:before="80"/>
      </w:pPr>
    </w:p>
    <w:p>
      <w:pPr>
        <w:pStyle w:val="Heading2"/>
        <w:spacing w:after="80" w:before="240"/>
      </w:pPr>
      <w:r>
        <w:rPr>
          <w:rFonts w:ascii="Arial" w:cs="Arial" w:eastAsia="Arial" w:hAnsi="Arial"/>
          <w:b/>
          <w:bCs/>
          <w:color w:val="1A140A"/>
          <w:sz w:val="24"/>
          <w:szCs w:val="24"/>
        </w:rPr>
        <w:t xml:space="preserve">Mindset &amp; Book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5C5" w:sz="1"/>
              <w:left w:val="single" w:color="DDD5C5" w:sz="1"/>
              <w:bottom w:val="single" w:color="DDD5C5" w:sz="1"/>
              <w:right w:val="single" w:color="DDD5C5" w:sz="1"/>
            </w:tcBorders>
            <w:shd w:fill="E8E1D4" w:val="clear"/>
            <w:tcMar>
              <w:top w:type="dxa" w:w="80"/>
              <w:left w:type="dxa" w:w="120"/>
              <w:bottom w:type="dxa" w:w="80"/>
              <w:right w:type="dxa" w:w="80"/>
            </w:tcMar>
          </w:tcPr>
          <w:p>
            <w:r>
              <w:rPr>
                <w:rFonts w:ascii="Arial" w:cs="Arial" w:eastAsia="Arial" w:hAnsi="Arial"/>
                <w:b/>
                <w:bCs/>
                <w:color w:val="8B5E0A"/>
                <w:sz w:val="18"/>
                <w:szCs w:val="18"/>
              </w:rPr>
              <w:t xml:space="preserve">SECTION</w:t>
            </w:r>
          </w:p>
        </w:tc>
        <w:tc>
          <w:tcPr>
            <w:tcW w:type="dxa" w:w="6160"/>
            <w:tcBorders>
              <w:top w:val="single" w:color="DDD5C5" w:sz="1"/>
              <w:left w:val="single" w:color="DDD5C5" w:sz="1"/>
              <w:bottom w:val="single" w:color="DDD5C5" w:sz="1"/>
              <w:right w:val="single" w:color="DDD5C5" w:sz="1"/>
            </w:tcBorders>
            <w:shd w:fill="E8E1D4" w:val="clear"/>
            <w:tcMar>
              <w:top w:type="dxa" w:w="80"/>
              <w:left w:type="dxa" w:w="120"/>
              <w:bottom w:type="dxa" w:w="80"/>
              <w:right w:type="dxa" w:w="120"/>
            </w:tcMar>
          </w:tcPr>
          <w:p>
            <w:r>
              <w:rPr>
                <w:rFonts w:ascii="Arial" w:cs="Arial" w:eastAsia="Arial" w:hAnsi="Arial"/>
                <w:b/>
                <w:bCs/>
                <w:color w:val="8B5E0A"/>
                <w:sz w:val="18"/>
                <w:szCs w:val="18"/>
              </w:rPr>
              <w:t xml:space="preserve">CONTENT OVERVIEW</w:t>
            </w:r>
          </w:p>
        </w:tc>
      </w:tr>
      <w:tr>
        <w:tc>
          <w:tcPr>
            <w:tcW w:type="dxa" w:w="3200"/>
            <w:tcBorders>
              <w:top w:val="single" w:color="DDD5C5" w:sz="1"/>
              <w:left w:val="single" w:color="DDD5C5" w:sz="1"/>
              <w:bottom w:val="single" w:color="DDD5C5" w:sz="1"/>
              <w:right w:val="single" w:color="DDD5C5" w:sz="1"/>
            </w:tcBorders>
            <w:tcMar>
              <w:top w:type="dxa" w:w="60"/>
              <w:left w:type="dxa" w:w="120"/>
              <w:bottom w:type="dxa" w:w="60"/>
              <w:right w:type="dxa" w:w="80"/>
            </w:tcMar>
          </w:tcPr>
          <w:p>
            <w:r>
              <w:rPr>
                <w:rFonts w:ascii="Arial" w:cs="Arial" w:eastAsia="Arial" w:hAnsi="Arial"/>
                <w:b/>
                <w:bCs/>
                <w:color w:val="C28A1A"/>
                <w:sz w:val="20"/>
                <w:szCs w:val="20"/>
              </w:rPr>
              <w:t xml:space="preserve">Psychology</w:t>
            </w:r>
          </w:p>
        </w:tc>
        <w:tc>
          <w:tcPr>
            <w:tcW w:type="dxa" w:w="6160"/>
            <w:tcBorders>
              <w:top w:val="single" w:color="DDD5C5" w:sz="1"/>
              <w:left w:val="single" w:color="DDD5C5" w:sz="1"/>
              <w:bottom w:val="single" w:color="DDD5C5" w:sz="1"/>
              <w:right w:val="single" w:color="DDD5C5" w:sz="1"/>
            </w:tcBorders>
            <w:tcMar>
              <w:top w:type="dxa" w:w="60"/>
              <w:left w:type="dxa" w:w="120"/>
              <w:bottom w:type="dxa" w:w="60"/>
              <w:right w:type="dxa" w:w="120"/>
            </w:tcMar>
          </w:tcPr>
          <w:p>
            <w:r>
              <w:rPr>
                <w:rFonts w:ascii="Arial" w:cs="Arial" w:eastAsia="Arial" w:hAnsi="Arial"/>
                <w:color w:val="7A6848"/>
                <w:sz w:val="20"/>
                <w:szCs w:val="20"/>
              </w:rPr>
              <w:t xml:space="preserve">Trading psychology framework — emotional state management, revenge trade prevention</w:t>
            </w:r>
          </w:p>
        </w:tc>
      </w:tr>
      <w:tr>
        <w:tc>
          <w:tcPr>
            <w:tcW w:type="dxa" w:w="3200"/>
            <w:tcBorders>
              <w:top w:val="single" w:color="DDD5C5" w:sz="1"/>
              <w:left w:val="single" w:color="DDD5C5" w:sz="1"/>
              <w:bottom w:val="single" w:color="DDD5C5" w:sz="1"/>
              <w:right w:val="single" w:color="DDD5C5" w:sz="1"/>
            </w:tcBorders>
            <w:tcMar>
              <w:top w:type="dxa" w:w="60"/>
              <w:left w:type="dxa" w:w="120"/>
              <w:bottom w:type="dxa" w:w="60"/>
              <w:right w:type="dxa" w:w="80"/>
            </w:tcMar>
          </w:tcPr>
          <w:p>
            <w:r>
              <w:rPr>
                <w:rFonts w:ascii="Arial" w:cs="Arial" w:eastAsia="Arial" w:hAnsi="Arial"/>
                <w:b/>
                <w:bCs/>
                <w:color w:val="C28A1A"/>
                <w:sz w:val="20"/>
                <w:szCs w:val="20"/>
              </w:rPr>
              <w:t xml:space="preserve">Way of the Turtle</w:t>
            </w:r>
          </w:p>
        </w:tc>
        <w:tc>
          <w:tcPr>
            <w:tcW w:type="dxa" w:w="6160"/>
            <w:tcBorders>
              <w:top w:val="single" w:color="DDD5C5" w:sz="1"/>
              <w:left w:val="single" w:color="DDD5C5" w:sz="1"/>
              <w:bottom w:val="single" w:color="DDD5C5" w:sz="1"/>
              <w:right w:val="single" w:color="DDD5C5" w:sz="1"/>
            </w:tcBorders>
            <w:tcMar>
              <w:top w:type="dxa" w:w="60"/>
              <w:left w:type="dxa" w:w="120"/>
              <w:bottom w:type="dxa" w:w="60"/>
              <w:right w:type="dxa" w:w="120"/>
            </w:tcMar>
          </w:tcPr>
          <w:p>
            <w:r>
              <w:rPr>
                <w:rFonts w:ascii="Arial" w:cs="Arial" w:eastAsia="Arial" w:hAnsi="Arial"/>
                <w:color w:val="7A6848"/>
                <w:sz w:val="20"/>
                <w:szCs w:val="20"/>
              </w:rPr>
              <w:t xml:space="preserve">Curtis Faith — systematic trading rules, position sizing, trend following discipline</w:t>
            </w:r>
          </w:p>
        </w:tc>
      </w:tr>
      <w:tr>
        <w:tc>
          <w:tcPr>
            <w:tcW w:type="dxa" w:w="3200"/>
            <w:tcBorders>
              <w:top w:val="single" w:color="DDD5C5" w:sz="1"/>
              <w:left w:val="single" w:color="DDD5C5" w:sz="1"/>
              <w:bottom w:val="single" w:color="DDD5C5" w:sz="1"/>
              <w:right w:val="single" w:color="DDD5C5" w:sz="1"/>
            </w:tcBorders>
            <w:tcMar>
              <w:top w:type="dxa" w:w="60"/>
              <w:left w:type="dxa" w:w="120"/>
              <w:bottom w:type="dxa" w:w="60"/>
              <w:right w:type="dxa" w:w="80"/>
            </w:tcMar>
          </w:tcPr>
          <w:p>
            <w:r>
              <w:rPr>
                <w:rFonts w:ascii="Arial" w:cs="Arial" w:eastAsia="Arial" w:hAnsi="Arial"/>
                <w:b/>
                <w:bCs/>
                <w:color w:val="C28A1A"/>
                <w:sz w:val="20"/>
                <w:szCs w:val="20"/>
              </w:rPr>
              <w:t xml:space="preserve">Failing Forward</w:t>
            </w:r>
          </w:p>
        </w:tc>
        <w:tc>
          <w:tcPr>
            <w:tcW w:type="dxa" w:w="6160"/>
            <w:tcBorders>
              <w:top w:val="single" w:color="DDD5C5" w:sz="1"/>
              <w:left w:val="single" w:color="DDD5C5" w:sz="1"/>
              <w:bottom w:val="single" w:color="DDD5C5" w:sz="1"/>
              <w:right w:val="single" w:color="DDD5C5" w:sz="1"/>
            </w:tcBorders>
            <w:tcMar>
              <w:top w:type="dxa" w:w="60"/>
              <w:left w:type="dxa" w:w="120"/>
              <w:bottom w:type="dxa" w:w="60"/>
              <w:right w:type="dxa" w:w="120"/>
            </w:tcMar>
          </w:tcPr>
          <w:p>
            <w:r>
              <w:rPr>
                <w:rFonts w:ascii="Arial" w:cs="Arial" w:eastAsia="Arial" w:hAnsi="Arial"/>
                <w:color w:val="7A6848"/>
                <w:sz w:val="20"/>
                <w:szCs w:val="20"/>
              </w:rPr>
              <w:t xml:space="preserve">John Maxwell — using losses as system data, not emotional events</w:t>
            </w:r>
          </w:p>
        </w:tc>
      </w:tr>
      <w:tr>
        <w:tc>
          <w:tcPr>
            <w:tcW w:type="dxa" w:w="3200"/>
            <w:tcBorders>
              <w:top w:val="single" w:color="DDD5C5" w:sz="1"/>
              <w:left w:val="single" w:color="DDD5C5" w:sz="1"/>
              <w:bottom w:val="single" w:color="DDD5C5" w:sz="1"/>
              <w:right w:val="single" w:color="DDD5C5" w:sz="1"/>
            </w:tcBorders>
            <w:tcMar>
              <w:top w:type="dxa" w:w="60"/>
              <w:left w:type="dxa" w:w="120"/>
              <w:bottom w:type="dxa" w:w="60"/>
              <w:right w:type="dxa" w:w="80"/>
            </w:tcMar>
          </w:tcPr>
          <w:p>
            <w:r>
              <w:rPr>
                <w:rFonts w:ascii="Arial" w:cs="Arial" w:eastAsia="Arial" w:hAnsi="Arial"/>
                <w:b/>
                <w:bCs/>
                <w:color w:val="C28A1A"/>
                <w:sz w:val="20"/>
                <w:szCs w:val="20"/>
              </w:rPr>
              <w:t xml:space="preserve">Money School</w:t>
            </w:r>
          </w:p>
        </w:tc>
        <w:tc>
          <w:tcPr>
            <w:tcW w:type="dxa" w:w="6160"/>
            <w:tcBorders>
              <w:top w:val="single" w:color="DDD5C5" w:sz="1"/>
              <w:left w:val="single" w:color="DDD5C5" w:sz="1"/>
              <w:bottom w:val="single" w:color="DDD5C5" w:sz="1"/>
              <w:right w:val="single" w:color="DDD5C5" w:sz="1"/>
            </w:tcBorders>
            <w:tcMar>
              <w:top w:type="dxa" w:w="60"/>
              <w:left w:type="dxa" w:w="120"/>
              <w:bottom w:type="dxa" w:w="60"/>
              <w:right w:type="dxa" w:w="120"/>
            </w:tcMar>
          </w:tcPr>
          <w:p>
            <w:r>
              <w:rPr>
                <w:rFonts w:ascii="Arial" w:cs="Arial" w:eastAsia="Arial" w:hAnsi="Arial"/>
                <w:color w:val="7A6848"/>
                <w:sz w:val="20"/>
                <w:szCs w:val="20"/>
              </w:rPr>
              <w:t xml:space="preserve">Financial mindset — profit protection, account management principles</w:t>
            </w:r>
          </w:p>
        </w:tc>
      </w:tr>
      <w:tr>
        <w:tc>
          <w:tcPr>
            <w:tcW w:type="dxa" w:w="3200"/>
            <w:tcBorders>
              <w:top w:val="single" w:color="DDD5C5" w:sz="1"/>
              <w:left w:val="single" w:color="DDD5C5" w:sz="1"/>
              <w:bottom w:val="single" w:color="DDD5C5" w:sz="1"/>
              <w:right w:val="single" w:color="DDD5C5" w:sz="1"/>
            </w:tcBorders>
            <w:tcMar>
              <w:top w:type="dxa" w:w="60"/>
              <w:left w:type="dxa" w:w="120"/>
              <w:bottom w:type="dxa" w:w="60"/>
              <w:right w:type="dxa" w:w="80"/>
            </w:tcMar>
          </w:tcPr>
          <w:p>
            <w:r>
              <w:rPr>
                <w:rFonts w:ascii="Arial" w:cs="Arial" w:eastAsia="Arial" w:hAnsi="Arial"/>
                <w:b/>
                <w:bCs/>
                <w:color w:val="C28A1A"/>
                <w:sz w:val="20"/>
                <w:szCs w:val="20"/>
              </w:rPr>
              <w:t xml:space="preserve">Mark Douglas</w:t>
            </w:r>
          </w:p>
        </w:tc>
        <w:tc>
          <w:tcPr>
            <w:tcW w:type="dxa" w:w="6160"/>
            <w:tcBorders>
              <w:top w:val="single" w:color="DDD5C5" w:sz="1"/>
              <w:left w:val="single" w:color="DDD5C5" w:sz="1"/>
              <w:bottom w:val="single" w:color="DDD5C5" w:sz="1"/>
              <w:right w:val="single" w:color="DDD5C5" w:sz="1"/>
            </w:tcBorders>
            <w:tcMar>
              <w:top w:type="dxa" w:w="60"/>
              <w:left w:type="dxa" w:w="120"/>
              <w:bottom w:type="dxa" w:w="60"/>
              <w:right w:type="dxa" w:w="120"/>
            </w:tcMar>
          </w:tcPr>
          <w:p>
            <w:r>
              <w:rPr>
                <w:rFonts w:ascii="Arial" w:cs="Arial" w:eastAsia="Arial" w:hAnsi="Arial"/>
                <w:color w:val="7A6848"/>
                <w:sz w:val="20"/>
                <w:szCs w:val="20"/>
              </w:rPr>
              <w:t xml:space="preserve">Trading in the Zone — probability mindset, discipline, consistency framework</w:t>
            </w:r>
          </w:p>
        </w:tc>
      </w:tr>
      <w:tr>
        <w:tc>
          <w:tcPr>
            <w:tcW w:type="dxa" w:w="3200"/>
            <w:tcBorders>
              <w:top w:val="single" w:color="DDD5C5" w:sz="1"/>
              <w:left w:val="single" w:color="DDD5C5" w:sz="1"/>
              <w:bottom w:val="single" w:color="DDD5C5" w:sz="1"/>
              <w:right w:val="single" w:color="DDD5C5" w:sz="1"/>
            </w:tcBorders>
            <w:tcMar>
              <w:top w:type="dxa" w:w="60"/>
              <w:left w:type="dxa" w:w="120"/>
              <w:bottom w:type="dxa" w:w="60"/>
              <w:right w:type="dxa" w:w="80"/>
            </w:tcMar>
          </w:tcPr>
          <w:p>
            <w:r>
              <w:rPr>
                <w:rFonts w:ascii="Arial" w:cs="Arial" w:eastAsia="Arial" w:hAnsi="Arial"/>
                <w:b/>
                <w:bCs/>
                <w:color w:val="C28A1A"/>
                <w:sz w:val="20"/>
                <w:szCs w:val="20"/>
              </w:rPr>
              <w:t xml:space="preserve">Steenbarger</w:t>
            </w:r>
          </w:p>
        </w:tc>
        <w:tc>
          <w:tcPr>
            <w:tcW w:type="dxa" w:w="6160"/>
            <w:tcBorders>
              <w:top w:val="single" w:color="DDD5C5" w:sz="1"/>
              <w:left w:val="single" w:color="DDD5C5" w:sz="1"/>
              <w:bottom w:val="single" w:color="DDD5C5" w:sz="1"/>
              <w:right w:val="single" w:color="DDD5C5" w:sz="1"/>
            </w:tcBorders>
            <w:tcMar>
              <w:top w:type="dxa" w:w="60"/>
              <w:left w:type="dxa" w:w="120"/>
              <w:bottom w:type="dxa" w:w="60"/>
              <w:right w:type="dxa" w:w="120"/>
            </w:tcMar>
          </w:tcPr>
          <w:p>
            <w:r>
              <w:rPr>
                <w:rFonts w:ascii="Arial" w:cs="Arial" w:eastAsia="Arial" w:hAnsi="Arial"/>
                <w:color w:val="7A6848"/>
                <w:sz w:val="20"/>
                <w:szCs w:val="20"/>
              </w:rPr>
              <w:t xml:space="preserve">Performance coaching for traders — process over outcome, deliberate practice</w:t>
            </w:r>
          </w:p>
        </w:tc>
      </w:tr>
      <w:tr>
        <w:tc>
          <w:tcPr>
            <w:tcW w:type="dxa" w:w="3200"/>
            <w:tcBorders>
              <w:top w:val="single" w:color="DDD5C5" w:sz="1"/>
              <w:left w:val="single" w:color="DDD5C5" w:sz="1"/>
              <w:bottom w:val="single" w:color="DDD5C5" w:sz="1"/>
              <w:right w:val="single" w:color="DDD5C5" w:sz="1"/>
            </w:tcBorders>
            <w:tcMar>
              <w:top w:type="dxa" w:w="60"/>
              <w:left w:type="dxa" w:w="120"/>
              <w:bottom w:type="dxa" w:w="60"/>
              <w:right w:type="dxa" w:w="80"/>
            </w:tcMar>
          </w:tcPr>
          <w:p>
            <w:r>
              <w:rPr>
                <w:rFonts w:ascii="Arial" w:cs="Arial" w:eastAsia="Arial" w:hAnsi="Arial"/>
                <w:b/>
                <w:bCs/>
                <w:color w:val="C28A1A"/>
                <w:sz w:val="20"/>
                <w:szCs w:val="20"/>
              </w:rPr>
              <w:t xml:space="preserve">Benjamin Graham</w:t>
            </w:r>
          </w:p>
        </w:tc>
        <w:tc>
          <w:tcPr>
            <w:tcW w:type="dxa" w:w="6160"/>
            <w:tcBorders>
              <w:top w:val="single" w:color="DDD5C5" w:sz="1"/>
              <w:left w:val="single" w:color="DDD5C5" w:sz="1"/>
              <w:bottom w:val="single" w:color="DDD5C5" w:sz="1"/>
              <w:right w:val="single" w:color="DDD5C5" w:sz="1"/>
            </w:tcBorders>
            <w:tcMar>
              <w:top w:type="dxa" w:w="60"/>
              <w:left w:type="dxa" w:w="120"/>
              <w:bottom w:type="dxa" w:w="60"/>
              <w:right w:type="dxa" w:w="120"/>
            </w:tcMar>
          </w:tcPr>
          <w:p>
            <w:r>
              <w:rPr>
                <w:rFonts w:ascii="Arial" w:cs="Arial" w:eastAsia="Arial" w:hAnsi="Arial"/>
                <w:color w:val="7A6848"/>
                <w:sz w:val="20"/>
                <w:szCs w:val="20"/>
              </w:rPr>
              <w:t xml:space="preserve">Value investing principles — patience, process, margin of safety thinking</w:t>
            </w:r>
          </w:p>
        </w:tc>
      </w:tr>
      <w:tr>
        <w:tc>
          <w:tcPr>
            <w:tcW w:type="dxa" w:w="3200"/>
            <w:tcBorders>
              <w:top w:val="single" w:color="DDD5C5" w:sz="1"/>
              <w:left w:val="single" w:color="DDD5C5" w:sz="1"/>
              <w:bottom w:val="single" w:color="DDD5C5" w:sz="1"/>
              <w:right w:val="single" w:color="DDD5C5" w:sz="1"/>
            </w:tcBorders>
            <w:tcMar>
              <w:top w:type="dxa" w:w="60"/>
              <w:left w:type="dxa" w:w="120"/>
              <w:bottom w:type="dxa" w:w="60"/>
              <w:right w:type="dxa" w:w="80"/>
            </w:tcMar>
          </w:tcPr>
          <w:p>
            <w:r>
              <w:rPr>
                <w:rFonts w:ascii="Arial" w:cs="Arial" w:eastAsia="Arial" w:hAnsi="Arial"/>
                <w:b/>
                <w:bCs/>
                <w:color w:val="C28A1A"/>
                <w:sz w:val="20"/>
                <w:szCs w:val="20"/>
              </w:rPr>
              <w:t xml:space="preserve">Joe Dispenza</w:t>
            </w:r>
          </w:p>
        </w:tc>
        <w:tc>
          <w:tcPr>
            <w:tcW w:type="dxa" w:w="6160"/>
            <w:tcBorders>
              <w:top w:val="single" w:color="DDD5C5" w:sz="1"/>
              <w:left w:val="single" w:color="DDD5C5" w:sz="1"/>
              <w:bottom w:val="single" w:color="DDD5C5" w:sz="1"/>
              <w:right w:val="single" w:color="DDD5C5" w:sz="1"/>
            </w:tcBorders>
            <w:tcMar>
              <w:top w:type="dxa" w:w="60"/>
              <w:left w:type="dxa" w:w="120"/>
              <w:bottom w:type="dxa" w:w="60"/>
              <w:right w:type="dxa" w:w="120"/>
            </w:tcMar>
          </w:tcPr>
          <w:p>
            <w:r>
              <w:rPr>
                <w:rFonts w:ascii="Arial" w:cs="Arial" w:eastAsia="Arial" w:hAnsi="Arial"/>
                <w:color w:val="7A6848"/>
                <w:sz w:val="20"/>
                <w:szCs w:val="20"/>
              </w:rPr>
              <w:t xml:space="preserve">Mindset reprogramming — visualization, state management, performance psychology</w:t>
            </w:r>
          </w:p>
        </w:tc>
      </w:tr>
      <w:tr>
        <w:tc>
          <w:tcPr>
            <w:tcW w:type="dxa" w:w="3200"/>
            <w:tcBorders>
              <w:top w:val="single" w:color="DDD5C5" w:sz="1"/>
              <w:left w:val="single" w:color="DDD5C5" w:sz="1"/>
              <w:bottom w:val="single" w:color="DDD5C5" w:sz="1"/>
              <w:right w:val="single" w:color="DDD5C5" w:sz="1"/>
            </w:tcBorders>
            <w:tcMar>
              <w:top w:type="dxa" w:w="60"/>
              <w:left w:type="dxa" w:w="120"/>
              <w:bottom w:type="dxa" w:w="60"/>
              <w:right w:type="dxa" w:w="80"/>
            </w:tcMar>
          </w:tcPr>
          <w:p>
            <w:r>
              <w:rPr>
                <w:rFonts w:ascii="Arial" w:cs="Arial" w:eastAsia="Arial" w:hAnsi="Arial"/>
                <w:b/>
                <w:bCs/>
                <w:color w:val="C28A1A"/>
                <w:sz w:val="20"/>
                <w:szCs w:val="20"/>
              </w:rPr>
              <w:t xml:space="preserve">Transurfing</w:t>
            </w:r>
          </w:p>
        </w:tc>
        <w:tc>
          <w:tcPr>
            <w:tcW w:type="dxa" w:w="6160"/>
            <w:tcBorders>
              <w:top w:val="single" w:color="DDD5C5" w:sz="1"/>
              <w:left w:val="single" w:color="DDD5C5" w:sz="1"/>
              <w:bottom w:val="single" w:color="DDD5C5" w:sz="1"/>
              <w:right w:val="single" w:color="DDD5C5" w:sz="1"/>
            </w:tcBorders>
            <w:tcMar>
              <w:top w:type="dxa" w:w="60"/>
              <w:left w:type="dxa" w:w="120"/>
              <w:bottom w:type="dxa" w:w="60"/>
              <w:right w:type="dxa" w:w="120"/>
            </w:tcMar>
          </w:tcPr>
          <w:p>
            <w:r>
              <w:rPr>
                <w:rFonts w:ascii="Arial" w:cs="Arial" w:eastAsia="Arial" w:hAnsi="Arial"/>
                <w:color w:val="7A6848"/>
                <w:sz w:val="20"/>
                <w:szCs w:val="20"/>
              </w:rPr>
              <w:t xml:space="preserve">Reality management — pendulum theory, staying in flow, reducing emotional reactivity</w:t>
            </w:r>
          </w:p>
        </w:tc>
      </w:tr>
      <w:tr>
        <w:tc>
          <w:tcPr>
            <w:tcW w:type="dxa" w:w="3200"/>
            <w:tcBorders>
              <w:top w:val="single" w:color="DDD5C5" w:sz="1"/>
              <w:left w:val="single" w:color="DDD5C5" w:sz="1"/>
              <w:bottom w:val="single" w:color="DDD5C5" w:sz="1"/>
              <w:right w:val="single" w:color="DDD5C5" w:sz="1"/>
            </w:tcBorders>
            <w:tcMar>
              <w:top w:type="dxa" w:w="60"/>
              <w:left w:type="dxa" w:w="120"/>
              <w:bottom w:type="dxa" w:w="60"/>
              <w:right w:type="dxa" w:w="80"/>
            </w:tcMar>
          </w:tcPr>
          <w:p>
            <w:r>
              <w:rPr>
                <w:rFonts w:ascii="Arial" w:cs="Arial" w:eastAsia="Arial" w:hAnsi="Arial"/>
                <w:b/>
                <w:bCs/>
                <w:color w:val="C28A1A"/>
                <w:sz w:val="20"/>
                <w:szCs w:val="20"/>
              </w:rPr>
              <w:t xml:space="preserve">Ikigai</w:t>
            </w:r>
          </w:p>
        </w:tc>
        <w:tc>
          <w:tcPr>
            <w:tcW w:type="dxa" w:w="6160"/>
            <w:tcBorders>
              <w:top w:val="single" w:color="DDD5C5" w:sz="1"/>
              <w:left w:val="single" w:color="DDD5C5" w:sz="1"/>
              <w:bottom w:val="single" w:color="DDD5C5" w:sz="1"/>
              <w:right w:val="single" w:color="DDD5C5" w:sz="1"/>
            </w:tcBorders>
            <w:tcMar>
              <w:top w:type="dxa" w:w="60"/>
              <w:left w:type="dxa" w:w="120"/>
              <w:bottom w:type="dxa" w:w="60"/>
              <w:right w:type="dxa" w:w="120"/>
            </w:tcMar>
          </w:tcPr>
          <w:p>
            <w:r>
              <w:rPr>
                <w:rFonts w:ascii="Arial" w:cs="Arial" w:eastAsia="Arial" w:hAnsi="Arial"/>
                <w:color w:val="7A6848"/>
                <w:sz w:val="20"/>
                <w:szCs w:val="20"/>
              </w:rPr>
              <w:t xml:space="preserve">Purpose framework — long-term motivation, the reason you trade</w:t>
            </w:r>
          </w:p>
        </w:tc>
      </w:tr>
      <w:tr>
        <w:tc>
          <w:tcPr>
            <w:tcW w:type="dxa" w:w="3200"/>
            <w:tcBorders>
              <w:top w:val="single" w:color="DDD5C5" w:sz="1"/>
              <w:left w:val="single" w:color="DDD5C5" w:sz="1"/>
              <w:bottom w:val="single" w:color="DDD5C5" w:sz="1"/>
              <w:right w:val="single" w:color="DDD5C5" w:sz="1"/>
            </w:tcBorders>
            <w:tcMar>
              <w:top w:type="dxa" w:w="60"/>
              <w:left w:type="dxa" w:w="120"/>
              <w:bottom w:type="dxa" w:w="60"/>
              <w:right w:type="dxa" w:w="80"/>
            </w:tcMar>
          </w:tcPr>
          <w:p>
            <w:r>
              <w:rPr>
                <w:rFonts w:ascii="Arial" w:cs="Arial" w:eastAsia="Arial" w:hAnsi="Arial"/>
                <w:b/>
                <w:bCs/>
                <w:color w:val="C28A1A"/>
                <w:sz w:val="20"/>
                <w:szCs w:val="20"/>
              </w:rPr>
              <w:t xml:space="preserve">Al Brooks</w:t>
            </w:r>
          </w:p>
        </w:tc>
        <w:tc>
          <w:tcPr>
            <w:tcW w:type="dxa" w:w="6160"/>
            <w:tcBorders>
              <w:top w:val="single" w:color="DDD5C5" w:sz="1"/>
              <w:left w:val="single" w:color="DDD5C5" w:sz="1"/>
              <w:bottom w:val="single" w:color="DDD5C5" w:sz="1"/>
              <w:right w:val="single" w:color="DDD5C5" w:sz="1"/>
            </w:tcBorders>
            <w:tcMar>
              <w:top w:type="dxa" w:w="60"/>
              <w:left w:type="dxa" w:w="120"/>
              <w:bottom w:type="dxa" w:w="60"/>
              <w:right w:type="dxa" w:w="120"/>
            </w:tcMar>
          </w:tcPr>
          <w:p>
            <w:r>
              <w:rPr>
                <w:rFonts w:ascii="Arial" w:cs="Arial" w:eastAsia="Arial" w:hAnsi="Arial"/>
                <w:color w:val="7A6848"/>
                <w:sz w:val="20"/>
                <w:szCs w:val="20"/>
              </w:rPr>
              <w:t xml:space="preserve">Price action fundamentals — bar-by-bar reading, context, market structure</w:t>
            </w:r>
          </w:p>
        </w:tc>
      </w:tr>
      <w:tr>
        <w:tc>
          <w:tcPr>
            <w:tcW w:type="dxa" w:w="3200"/>
            <w:tcBorders>
              <w:top w:val="single" w:color="DDD5C5" w:sz="1"/>
              <w:left w:val="single" w:color="DDD5C5" w:sz="1"/>
              <w:bottom w:val="single" w:color="DDD5C5" w:sz="1"/>
              <w:right w:val="single" w:color="DDD5C5" w:sz="1"/>
            </w:tcBorders>
            <w:tcMar>
              <w:top w:type="dxa" w:w="60"/>
              <w:left w:type="dxa" w:w="120"/>
              <w:bottom w:type="dxa" w:w="60"/>
              <w:right w:type="dxa" w:w="80"/>
            </w:tcMar>
          </w:tcPr>
          <w:p>
            <w:r>
              <w:rPr>
                <w:rFonts w:ascii="Arial" w:cs="Arial" w:eastAsia="Arial" w:hAnsi="Arial"/>
                <w:b/>
                <w:bCs/>
                <w:color w:val="C28A1A"/>
                <w:sz w:val="20"/>
                <w:szCs w:val="20"/>
              </w:rPr>
              <w:t xml:space="preserve">Daily Laws</w:t>
            </w:r>
          </w:p>
        </w:tc>
        <w:tc>
          <w:tcPr>
            <w:tcW w:type="dxa" w:w="6160"/>
            <w:tcBorders>
              <w:top w:val="single" w:color="DDD5C5" w:sz="1"/>
              <w:left w:val="single" w:color="DDD5C5" w:sz="1"/>
              <w:bottom w:val="single" w:color="DDD5C5" w:sz="1"/>
              <w:right w:val="single" w:color="DDD5C5" w:sz="1"/>
            </w:tcBorders>
            <w:tcMar>
              <w:top w:type="dxa" w:w="60"/>
              <w:left w:type="dxa" w:w="120"/>
              <w:bottom w:type="dxa" w:w="60"/>
              <w:right w:type="dxa" w:w="120"/>
            </w:tcMar>
          </w:tcPr>
          <w:p>
            <w:r>
              <w:rPr>
                <w:rFonts w:ascii="Arial" w:cs="Arial" w:eastAsia="Arial" w:hAnsi="Arial"/>
                <w:color w:val="7A6848"/>
                <w:sz w:val="20"/>
                <w:szCs w:val="20"/>
              </w:rPr>
              <w:t xml:space="preserve">Robert Greene — 366 daily entries on power, strategy, and mastery — one per day</w:t>
            </w:r>
          </w:p>
        </w:tc>
      </w:tr>
      <w:tr>
        <w:tc>
          <w:tcPr>
            <w:tcW w:type="dxa" w:w="3200"/>
            <w:tcBorders>
              <w:top w:val="single" w:color="DDD5C5" w:sz="1"/>
              <w:left w:val="single" w:color="DDD5C5" w:sz="1"/>
              <w:bottom w:val="single" w:color="DDD5C5" w:sz="1"/>
              <w:right w:val="single" w:color="DDD5C5" w:sz="1"/>
            </w:tcBorders>
            <w:tcMar>
              <w:top w:type="dxa" w:w="60"/>
              <w:left w:type="dxa" w:w="120"/>
              <w:bottom w:type="dxa" w:w="60"/>
              <w:right w:type="dxa" w:w="80"/>
            </w:tcMar>
          </w:tcPr>
          <w:p>
            <w:r>
              <w:rPr>
                <w:rFonts w:ascii="Arial" w:cs="Arial" w:eastAsia="Arial" w:hAnsi="Arial"/>
                <w:b/>
                <w:bCs/>
                <w:color w:val="C28A1A"/>
                <w:sz w:val="20"/>
                <w:szCs w:val="20"/>
              </w:rPr>
              <w:t xml:space="preserve">Andrew Aziz</w:t>
            </w:r>
          </w:p>
        </w:tc>
        <w:tc>
          <w:tcPr>
            <w:tcW w:type="dxa" w:w="6160"/>
            <w:tcBorders>
              <w:top w:val="single" w:color="DDD5C5" w:sz="1"/>
              <w:left w:val="single" w:color="DDD5C5" w:sz="1"/>
              <w:bottom w:val="single" w:color="DDD5C5" w:sz="1"/>
              <w:right w:val="single" w:color="DDD5C5" w:sz="1"/>
            </w:tcBorders>
            <w:tcMar>
              <w:top w:type="dxa" w:w="60"/>
              <w:left w:type="dxa" w:w="120"/>
              <w:bottom w:type="dxa" w:w="60"/>
              <w:right w:type="dxa" w:w="120"/>
            </w:tcMar>
          </w:tcPr>
          <w:p>
            <w:r>
              <w:rPr>
                <w:rFonts w:ascii="Arial" w:cs="Arial" w:eastAsia="Arial" w:hAnsi="Arial"/>
                <w:color w:val="7A6848"/>
                <w:sz w:val="20"/>
                <w:szCs w:val="20"/>
              </w:rPr>
              <w:t xml:space="preserve">Day trading fundamentals — risk management, momentum reading</w:t>
            </w:r>
          </w:p>
        </w:tc>
      </w:tr>
    </w:tbl>
    <w:p>
      <w:pPr>
        <w:pBdr>
          <w:bottom w:val="single" w:color="DDD5C5" w:sz="4" w:space="1"/>
        </w:pBdr>
        <w:spacing w:after="120" w:before="120"/>
      </w:pPr>
    </w:p>
    <w:p>
      <w:pPr>
        <w:pStyle w:val="Heading1"/>
        <w:pBdr>
          <w:bottom w:val="single" w:color="C28A1A" w:sz="8" w:space="6"/>
        </w:pBdr>
        <w:spacing w:after="120" w:before="320"/>
      </w:pPr>
      <w:r>
        <w:rPr>
          <w:rFonts w:ascii="Arial" w:cs="Arial" w:eastAsia="Arial" w:hAnsi="Arial"/>
          <w:b/>
          <w:bCs/>
          <w:color w:val="8B5E0A"/>
          <w:sz w:val="32"/>
          <w:szCs w:val="32"/>
        </w:rPr>
        <w:t xml:space="preserve">Dark Mode</w:t>
      </w:r>
    </w:p>
    <w:p>
      <w:pPr>
        <w:spacing w:after="80" w:before="60"/>
      </w:pPr>
      <w:r>
        <w:rPr>
          <w:rFonts w:ascii="Arial" w:cs="Arial" w:eastAsia="Arial" w:hAnsi="Arial"/>
          <w:b w:val="false"/>
          <w:bCs w:val="false"/>
          <w:i w:val="false"/>
          <w:iCs w:val="false"/>
          <w:color w:val="1A140A"/>
          <w:sz w:val="22"/>
          <w:szCs w:val="22"/>
        </w:rPr>
        <w:t xml:space="preserve">TradeOS detects the device's system preference automatically using prefers-color-scheme. It also supports a manual toggle button (moon/sun icon) in the header. The preference is saved to localStorage and persists across sessions. Dark mode uses a deep brown background with warm amber accent tones — consistent with the overall palette.</w:t>
      </w:r>
    </w:p>
    <w:p>
      <w:pPr>
        <w:pBdr>
          <w:bottom w:val="single" w:color="DDD5C5" w:sz="4" w:space="1"/>
        </w:pBdr>
        <w:spacing w:after="120" w:before="120"/>
      </w:pPr>
    </w:p>
    <w:p>
      <w:pPr>
        <w:pStyle w:val="Heading1"/>
        <w:pBdr>
          <w:bottom w:val="single" w:color="C28A1A" w:sz="8" w:space="6"/>
        </w:pBdr>
        <w:spacing w:after="120" w:before="320"/>
      </w:pPr>
      <w:r>
        <w:rPr>
          <w:rFonts w:ascii="Arial" w:cs="Arial" w:eastAsia="Arial" w:hAnsi="Arial"/>
          <w:b/>
          <w:bCs/>
          <w:color w:val="8B5E0A"/>
          <w:sz w:val="32"/>
          <w:szCs w:val="32"/>
        </w:rPr>
        <w:t xml:space="preserve">Deployment — GitHub Pages</w:t>
      </w:r>
    </w:p>
    <w:p>
      <w:pPr>
        <w:pStyle w:val="Heading2"/>
        <w:spacing w:after="80" w:before="240"/>
      </w:pPr>
      <w:r>
        <w:rPr>
          <w:rFonts w:ascii="Arial" w:cs="Arial" w:eastAsia="Arial" w:hAnsi="Arial"/>
          <w:b/>
          <w:bCs/>
          <w:color w:val="1A140A"/>
          <w:sz w:val="24"/>
          <w:szCs w:val="24"/>
        </w:rPr>
        <w:t xml:space="preserve">How to Deploy or Update</w:t>
      </w:r>
    </w:p>
    <w:p>
      <w:pPr>
        <w:pStyle w:val="ListParagraph"/>
        <w:numPr>
          <w:ilvl w:val="0"/>
          <w:numId w:val="3"/>
        </w:numPr>
        <w:spacing w:after="60" w:before="60"/>
      </w:pPr>
      <w:r>
        <w:rPr>
          <w:rFonts w:ascii="Arial" w:cs="Arial" w:eastAsia="Arial" w:hAnsi="Arial"/>
          <w:color w:val="1A140A"/>
          <w:sz w:val="22"/>
          <w:szCs w:val="22"/>
        </w:rPr>
        <w:t xml:space="preserve">Go to your GitHub repository in a browser.</w:t>
      </w:r>
    </w:p>
    <w:p>
      <w:pPr>
        <w:pStyle w:val="ListParagraph"/>
        <w:numPr>
          <w:ilvl w:val="0"/>
          <w:numId w:val="3"/>
        </w:numPr>
        <w:spacing w:after="60" w:before="60"/>
      </w:pPr>
      <w:r>
        <w:rPr>
          <w:rFonts w:ascii="Arial" w:cs="Arial" w:eastAsia="Arial" w:hAnsi="Arial"/>
          <w:color w:val="1A140A"/>
          <w:sz w:val="22"/>
          <w:szCs w:val="22"/>
        </w:rPr>
        <w:t xml:space="preserve">Click "Add file" → "Upload files."</w:t>
      </w:r>
    </w:p>
    <w:p>
      <w:pPr>
        <w:pStyle w:val="ListParagraph"/>
        <w:numPr>
          <w:ilvl w:val="0"/>
          <w:numId w:val="3"/>
        </w:numPr>
        <w:spacing w:after="60" w:before="60"/>
      </w:pPr>
      <w:r>
        <w:rPr>
          <w:rFonts w:ascii="Arial" w:cs="Arial" w:eastAsia="Arial" w:hAnsi="Arial"/>
          <w:color w:val="1A140A"/>
          <w:sz w:val="22"/>
          <w:szCs w:val="22"/>
        </w:rPr>
        <w:t xml:space="preserve">Drag and drop the index.html file. GitHub will replace the existing file automatically.</w:t>
      </w:r>
    </w:p>
    <w:p>
      <w:pPr>
        <w:pStyle w:val="ListParagraph"/>
        <w:numPr>
          <w:ilvl w:val="0"/>
          <w:numId w:val="3"/>
        </w:numPr>
        <w:spacing w:after="60" w:before="60"/>
      </w:pPr>
      <w:r>
        <w:rPr>
          <w:rFonts w:ascii="Arial" w:cs="Arial" w:eastAsia="Arial" w:hAnsi="Arial"/>
          <w:color w:val="1A140A"/>
          <w:sz w:val="22"/>
          <w:szCs w:val="22"/>
        </w:rPr>
        <w:t xml:space="preserve">Scroll down and click "Commit changes."</w:t>
      </w:r>
    </w:p>
    <w:p>
      <w:pPr>
        <w:pStyle w:val="ListParagraph"/>
        <w:numPr>
          <w:ilvl w:val="0"/>
          <w:numId w:val="3"/>
        </w:numPr>
        <w:spacing w:after="60" w:before="60"/>
      </w:pPr>
      <w:r>
        <w:rPr>
          <w:rFonts w:ascii="Arial" w:cs="Arial" w:eastAsia="Arial" w:hAnsi="Arial"/>
          <w:color w:val="1A140A"/>
          <w:sz w:val="22"/>
          <w:szCs w:val="22"/>
        </w:rPr>
        <w:t xml:space="preserve">GitHub Pages redeploys automatically. The live site updates in 30–60 seconds.</w:t>
      </w:r>
    </w:p>
    <w:p>
      <w:pPr>
        <w:spacing w:after="0" w:before="80"/>
      </w:pPr>
    </w:p>
    <w:p>
      <w:pPr>
        <w:pStyle w:val="Heading2"/>
        <w:spacing w:after="80" w:before="240"/>
      </w:pPr>
      <w:r>
        <w:rPr>
          <w:rFonts w:ascii="Arial" w:cs="Arial" w:eastAsia="Arial" w:hAnsi="Arial"/>
          <w:b/>
          <w:bCs/>
          <w:color w:val="1A140A"/>
          <w:sz w:val="24"/>
          <w:szCs w:val="24"/>
        </w:rPr>
        <w:t xml:space="preserve">Critical: Avoid Jekyll Front Matter</w:t>
      </w:r>
    </w:p>
    <w:p>
      <w:pPr>
        <w:spacing w:after="80" w:before="60"/>
      </w:pPr>
      <w:r>
        <w:rPr>
          <w:rFonts w:ascii="Arial" w:cs="Arial" w:eastAsia="Arial" w:hAnsi="Arial"/>
          <w:b w:val="false"/>
          <w:bCs w:val="false"/>
          <w:i w:val="false"/>
          <w:iCs w:val="false"/>
          <w:color w:val="1A140A"/>
          <w:sz w:val="22"/>
          <w:szCs w:val="22"/>
        </w:rPr>
        <w:t xml:space="preserve">Never save the file with --- lines at the top. GitHub Pages uses Jekyll to process HTML files. If the file starts with --- front matter, Jekyll will corrupt the output and the site will break. The file must begin with &lt;!DOCTYPE html&gt; on line 1 with nothing above it.</w:t>
      </w:r>
    </w:p>
    <w:p>
      <w:pPr>
        <w:spacing w:after="0" w:before="80"/>
      </w:pPr>
    </w:p>
    <w:p>
      <w:pPr>
        <w:pStyle w:val="Heading2"/>
        <w:spacing w:after="80" w:before="240"/>
      </w:pPr>
      <w:r>
        <w:rPr>
          <w:rFonts w:ascii="Arial" w:cs="Arial" w:eastAsia="Arial" w:hAnsi="Arial"/>
          <w:b/>
          <w:bCs/>
          <w:color w:val="1A140A"/>
          <w:sz w:val="24"/>
          <w:szCs w:val="24"/>
        </w:rPr>
        <w:t xml:space="preserve">GitHub Pages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none" w:color="FFFFFF" w:sz="0"/>
              <w:left w:val="none" w:color="FFFFFF" w:sz="0"/>
              <w:bottom w:val="none" w:color="FFFFFF" w:sz="0"/>
              <w:right w:val="none" w:color="FFFFFF" w:sz="0"/>
            </w:tcBorders>
            <w:shd w:fill="F0EBE0" w:val="clear"/>
            <w:tcMar>
              <w:top w:type="dxa" w:w="60"/>
              <w:left w:type="dxa" w:w="100"/>
              <w:bottom w:type="dxa" w:w="60"/>
              <w:right w:type="dxa" w:w="80"/>
            </w:tcMar>
          </w:tcPr>
          <w:p>
            <w:r>
              <w:rPr>
                <w:rFonts w:ascii="Arial" w:cs="Arial" w:eastAsia="Arial" w:hAnsi="Arial"/>
                <w:b/>
                <w:bCs/>
                <w:color w:val="7A6848"/>
                <w:sz w:val="18"/>
                <w:szCs w:val="18"/>
              </w:rPr>
              <w:t xml:space="preserve">Source branch</w:t>
            </w:r>
          </w:p>
        </w:tc>
        <w:tc>
          <w:tcPr>
            <w:tcW w:type="dxa" w:w="7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40A"/>
                <w:sz w:val="20"/>
                <w:szCs w:val="20"/>
              </w:rPr>
              <w:t xml:space="preserve">main (or master — whichever your repo uses)</w:t>
            </w:r>
          </w:p>
        </w:tc>
      </w:tr>
      <w:tr>
        <w:tc>
          <w:tcPr>
            <w:tcW w:type="dxa" w:w="2400"/>
            <w:tcBorders>
              <w:top w:val="none" w:color="FFFFFF" w:sz="0"/>
              <w:left w:val="none" w:color="FFFFFF" w:sz="0"/>
              <w:bottom w:val="none" w:color="FFFFFF" w:sz="0"/>
              <w:right w:val="none" w:color="FFFFFF" w:sz="0"/>
            </w:tcBorders>
            <w:shd w:fill="F0EBE0" w:val="clear"/>
            <w:tcMar>
              <w:top w:type="dxa" w:w="60"/>
              <w:left w:type="dxa" w:w="100"/>
              <w:bottom w:type="dxa" w:w="60"/>
              <w:right w:type="dxa" w:w="80"/>
            </w:tcMar>
          </w:tcPr>
          <w:p>
            <w:r>
              <w:rPr>
                <w:rFonts w:ascii="Arial" w:cs="Arial" w:eastAsia="Arial" w:hAnsi="Arial"/>
                <w:b/>
                <w:bCs/>
                <w:color w:val="7A6848"/>
                <w:sz w:val="18"/>
                <w:szCs w:val="18"/>
              </w:rPr>
              <w:t xml:space="preserve">Source folder</w:t>
            </w:r>
          </w:p>
        </w:tc>
        <w:tc>
          <w:tcPr>
            <w:tcW w:type="dxa" w:w="7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40A"/>
                <w:sz w:val="20"/>
                <w:szCs w:val="20"/>
              </w:rPr>
              <w:t xml:space="preserve">/ (root) — index.html must be in the root directory</w:t>
            </w:r>
          </w:p>
        </w:tc>
      </w:tr>
      <w:tr>
        <w:tc>
          <w:tcPr>
            <w:tcW w:type="dxa" w:w="2400"/>
            <w:tcBorders>
              <w:top w:val="none" w:color="FFFFFF" w:sz="0"/>
              <w:left w:val="none" w:color="FFFFFF" w:sz="0"/>
              <w:bottom w:val="none" w:color="FFFFFF" w:sz="0"/>
              <w:right w:val="none" w:color="FFFFFF" w:sz="0"/>
            </w:tcBorders>
            <w:shd w:fill="F0EBE0" w:val="clear"/>
            <w:tcMar>
              <w:top w:type="dxa" w:w="60"/>
              <w:left w:type="dxa" w:w="100"/>
              <w:bottom w:type="dxa" w:w="60"/>
              <w:right w:type="dxa" w:w="80"/>
            </w:tcMar>
          </w:tcPr>
          <w:p>
            <w:r>
              <w:rPr>
                <w:rFonts w:ascii="Arial" w:cs="Arial" w:eastAsia="Arial" w:hAnsi="Arial"/>
                <w:b/>
                <w:bCs/>
                <w:color w:val="7A6848"/>
                <w:sz w:val="18"/>
                <w:szCs w:val="18"/>
              </w:rPr>
              <w:t xml:space="preserve">File name</w:t>
            </w:r>
          </w:p>
        </w:tc>
        <w:tc>
          <w:tcPr>
            <w:tcW w:type="dxa" w:w="7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40A"/>
                <w:sz w:val="20"/>
                <w:szCs w:val="20"/>
              </w:rPr>
              <w:t xml:space="preserve">index.html — this is served as the default page automatically</w:t>
            </w:r>
          </w:p>
        </w:tc>
      </w:tr>
      <w:tr>
        <w:tc>
          <w:tcPr>
            <w:tcW w:type="dxa" w:w="2400"/>
            <w:tcBorders>
              <w:top w:val="none" w:color="FFFFFF" w:sz="0"/>
              <w:left w:val="none" w:color="FFFFFF" w:sz="0"/>
              <w:bottom w:val="none" w:color="FFFFFF" w:sz="0"/>
              <w:right w:val="none" w:color="FFFFFF" w:sz="0"/>
            </w:tcBorders>
            <w:shd w:fill="F0EBE0" w:val="clear"/>
            <w:tcMar>
              <w:top w:type="dxa" w:w="60"/>
              <w:left w:type="dxa" w:w="100"/>
              <w:bottom w:type="dxa" w:w="60"/>
              <w:right w:type="dxa" w:w="80"/>
            </w:tcMar>
          </w:tcPr>
          <w:p>
            <w:r>
              <w:rPr>
                <w:rFonts w:ascii="Arial" w:cs="Arial" w:eastAsia="Arial" w:hAnsi="Arial"/>
                <w:b/>
                <w:bCs/>
                <w:color w:val="7A6848"/>
                <w:sz w:val="18"/>
                <w:szCs w:val="18"/>
              </w:rPr>
              <w:t xml:space="preserve">Custom domain</w:t>
            </w:r>
          </w:p>
        </w:tc>
        <w:tc>
          <w:tcPr>
            <w:tcW w:type="dxa" w:w="7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40A"/>
                <w:sz w:val="20"/>
                <w:szCs w:val="20"/>
              </w:rPr>
              <w:t xml:space="preserve">Optional — configure in Settings → Pages</w:t>
            </w:r>
          </w:p>
        </w:tc>
      </w:tr>
      <w:tr>
        <w:tc>
          <w:tcPr>
            <w:tcW w:type="dxa" w:w="2400"/>
            <w:tcBorders>
              <w:top w:val="none" w:color="FFFFFF" w:sz="0"/>
              <w:left w:val="none" w:color="FFFFFF" w:sz="0"/>
              <w:bottom w:val="none" w:color="FFFFFF" w:sz="0"/>
              <w:right w:val="none" w:color="FFFFFF" w:sz="0"/>
            </w:tcBorders>
            <w:shd w:fill="F0EBE0" w:val="clear"/>
            <w:tcMar>
              <w:top w:type="dxa" w:w="60"/>
              <w:left w:type="dxa" w:w="100"/>
              <w:bottom w:type="dxa" w:w="60"/>
              <w:right w:type="dxa" w:w="80"/>
            </w:tcMar>
          </w:tcPr>
          <w:p>
            <w:r>
              <w:rPr>
                <w:rFonts w:ascii="Arial" w:cs="Arial" w:eastAsia="Arial" w:hAnsi="Arial"/>
                <w:b/>
                <w:bCs/>
                <w:color w:val="7A6848"/>
                <w:sz w:val="18"/>
                <w:szCs w:val="18"/>
              </w:rPr>
              <w:t xml:space="preserve">HTTPS</w:t>
            </w:r>
          </w:p>
        </w:tc>
        <w:tc>
          <w:tcPr>
            <w:tcW w:type="dxa" w:w="7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40A"/>
                <w:sz w:val="20"/>
                <w:szCs w:val="20"/>
              </w:rPr>
              <w:t xml:space="preserve">Enforced automatically by GitHub — no configuration needed</w:t>
            </w:r>
          </w:p>
        </w:tc>
      </w:tr>
    </w:tbl>
    <w:p>
      <w:pPr>
        <w:pBdr>
          <w:bottom w:val="single" w:color="DDD5C5" w:sz="4" w:space="1"/>
        </w:pBdr>
        <w:spacing w:after="120" w:before="120"/>
      </w:pPr>
    </w:p>
    <w:p>
      <w:pPr>
        <w:pStyle w:val="Heading1"/>
        <w:pBdr>
          <w:bottom w:val="single" w:color="C28A1A" w:sz="8" w:space="6"/>
        </w:pBdr>
        <w:spacing w:after="120" w:before="320"/>
      </w:pPr>
      <w:r>
        <w:rPr>
          <w:rFonts w:ascii="Arial" w:cs="Arial" w:eastAsia="Arial" w:hAnsi="Arial"/>
          <w:b/>
          <w:bCs/>
          <w:color w:val="8B5E0A"/>
          <w:sz w:val="32"/>
          <w:szCs w:val="32"/>
        </w:rPr>
        <w:t xml:space="preserve">Data Storage &amp; Privacy</w:t>
      </w:r>
    </w:p>
    <w:p>
      <w:pPr>
        <w:spacing w:after="80" w:before="60"/>
      </w:pPr>
      <w:r>
        <w:rPr>
          <w:rFonts w:ascii="Arial" w:cs="Arial" w:eastAsia="Arial" w:hAnsi="Arial"/>
          <w:b w:val="false"/>
          <w:bCs w:val="false"/>
          <w:i w:val="false"/>
          <w:iCs w:val="false"/>
          <w:color w:val="1A140A"/>
          <w:sz w:val="22"/>
          <w:szCs w:val="22"/>
        </w:rPr>
        <w:t xml:space="preserve">All data is stored in browser localStorage under the key prefix tos3_. Nothing is sent to any server. No analytics, no tracking, no external APIs beyond Google Fonts and Chart.js.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none" w:color="FFFFFF" w:sz="0"/>
              <w:left w:val="none" w:color="FFFFFF" w:sz="0"/>
              <w:bottom w:val="none" w:color="FFFFFF" w:sz="0"/>
              <w:right w:val="none" w:color="FFFFFF" w:sz="0"/>
            </w:tcBorders>
            <w:shd w:fill="F0EBE0" w:val="clear"/>
            <w:tcMar>
              <w:top w:type="dxa" w:w="60"/>
              <w:left w:type="dxa" w:w="100"/>
              <w:bottom w:type="dxa" w:w="60"/>
              <w:right w:type="dxa" w:w="80"/>
            </w:tcMar>
          </w:tcPr>
          <w:p>
            <w:r>
              <w:rPr>
                <w:rFonts w:ascii="Arial" w:cs="Arial" w:eastAsia="Arial" w:hAnsi="Arial"/>
                <w:b/>
                <w:bCs/>
                <w:color w:val="7A6848"/>
                <w:sz w:val="18"/>
                <w:szCs w:val="18"/>
              </w:rPr>
              <w:t xml:space="preserve">Trades</w:t>
            </w:r>
          </w:p>
        </w:tc>
        <w:tc>
          <w:tcPr>
            <w:tcW w:type="dxa" w:w="7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40A"/>
                <w:sz w:val="20"/>
                <w:szCs w:val="20"/>
              </w:rPr>
              <w:t xml:space="preserve">tos3_trades — array of all trade objects</w:t>
            </w:r>
          </w:p>
        </w:tc>
      </w:tr>
      <w:tr>
        <w:tc>
          <w:tcPr>
            <w:tcW w:type="dxa" w:w="2400"/>
            <w:tcBorders>
              <w:top w:val="none" w:color="FFFFFF" w:sz="0"/>
              <w:left w:val="none" w:color="FFFFFF" w:sz="0"/>
              <w:bottom w:val="none" w:color="FFFFFF" w:sz="0"/>
              <w:right w:val="none" w:color="FFFFFF" w:sz="0"/>
            </w:tcBorders>
            <w:shd w:fill="F0EBE0" w:val="clear"/>
            <w:tcMar>
              <w:top w:type="dxa" w:w="60"/>
              <w:left w:type="dxa" w:w="100"/>
              <w:bottom w:type="dxa" w:w="60"/>
              <w:right w:type="dxa" w:w="80"/>
            </w:tcMar>
          </w:tcPr>
          <w:p>
            <w:r>
              <w:rPr>
                <w:rFonts w:ascii="Arial" w:cs="Arial" w:eastAsia="Arial" w:hAnsi="Arial"/>
                <w:b/>
                <w:bCs/>
                <w:color w:val="7A6848"/>
                <w:sz w:val="18"/>
                <w:szCs w:val="18"/>
              </w:rPr>
              <w:t xml:space="preserve">Accounts</w:t>
            </w:r>
          </w:p>
        </w:tc>
        <w:tc>
          <w:tcPr>
            <w:tcW w:type="dxa" w:w="7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40A"/>
                <w:sz w:val="20"/>
                <w:szCs w:val="20"/>
              </w:rPr>
              <w:t xml:space="preserve">tos3_accounts — account list with names, balances, colors</w:t>
            </w:r>
          </w:p>
        </w:tc>
      </w:tr>
      <w:tr>
        <w:tc>
          <w:tcPr>
            <w:tcW w:type="dxa" w:w="2400"/>
            <w:tcBorders>
              <w:top w:val="none" w:color="FFFFFF" w:sz="0"/>
              <w:left w:val="none" w:color="FFFFFF" w:sz="0"/>
              <w:bottom w:val="none" w:color="FFFFFF" w:sz="0"/>
              <w:right w:val="none" w:color="FFFFFF" w:sz="0"/>
            </w:tcBorders>
            <w:shd w:fill="F0EBE0" w:val="clear"/>
            <w:tcMar>
              <w:top w:type="dxa" w:w="60"/>
              <w:left w:type="dxa" w:w="100"/>
              <w:bottom w:type="dxa" w:w="60"/>
              <w:right w:type="dxa" w:w="80"/>
            </w:tcMar>
          </w:tcPr>
          <w:p>
            <w:r>
              <w:rPr>
                <w:rFonts w:ascii="Arial" w:cs="Arial" w:eastAsia="Arial" w:hAnsi="Arial"/>
                <w:b/>
                <w:bCs/>
                <w:color w:val="7A6848"/>
                <w:sz w:val="18"/>
                <w:szCs w:val="18"/>
              </w:rPr>
              <w:t xml:space="preserve">Active Account</w:t>
            </w:r>
          </w:p>
        </w:tc>
        <w:tc>
          <w:tcPr>
            <w:tcW w:type="dxa" w:w="7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40A"/>
                <w:sz w:val="20"/>
                <w:szCs w:val="20"/>
              </w:rPr>
              <w:t xml:space="preserve">tos3_activeAcc — current account filter</w:t>
            </w:r>
          </w:p>
        </w:tc>
      </w:tr>
      <w:tr>
        <w:tc>
          <w:tcPr>
            <w:tcW w:type="dxa" w:w="2400"/>
            <w:tcBorders>
              <w:top w:val="none" w:color="FFFFFF" w:sz="0"/>
              <w:left w:val="none" w:color="FFFFFF" w:sz="0"/>
              <w:bottom w:val="none" w:color="FFFFFF" w:sz="0"/>
              <w:right w:val="none" w:color="FFFFFF" w:sz="0"/>
            </w:tcBorders>
            <w:shd w:fill="F0EBE0" w:val="clear"/>
            <w:tcMar>
              <w:top w:type="dxa" w:w="60"/>
              <w:left w:type="dxa" w:w="100"/>
              <w:bottom w:type="dxa" w:w="60"/>
              <w:right w:type="dxa" w:w="80"/>
            </w:tcMar>
          </w:tcPr>
          <w:p>
            <w:r>
              <w:rPr>
                <w:rFonts w:ascii="Arial" w:cs="Arial" w:eastAsia="Arial" w:hAnsi="Arial"/>
                <w:b/>
                <w:bCs/>
                <w:color w:val="7A6848"/>
                <w:sz w:val="18"/>
                <w:szCs w:val="18"/>
              </w:rPr>
              <w:t xml:space="preserve">Daily Logs</w:t>
            </w:r>
          </w:p>
        </w:tc>
        <w:tc>
          <w:tcPr>
            <w:tcW w:type="dxa" w:w="7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40A"/>
                <w:sz w:val="20"/>
                <w:szCs w:val="20"/>
              </w:rPr>
              <w:t xml:space="preserve">tos3_dl_YYYY-MM-DD — one key per date</w:t>
            </w:r>
          </w:p>
        </w:tc>
      </w:tr>
      <w:tr>
        <w:tc>
          <w:tcPr>
            <w:tcW w:type="dxa" w:w="2400"/>
            <w:tcBorders>
              <w:top w:val="none" w:color="FFFFFF" w:sz="0"/>
              <w:left w:val="none" w:color="FFFFFF" w:sz="0"/>
              <w:bottom w:val="none" w:color="FFFFFF" w:sz="0"/>
              <w:right w:val="none" w:color="FFFFFF" w:sz="0"/>
            </w:tcBorders>
            <w:shd w:fill="F0EBE0" w:val="clear"/>
            <w:tcMar>
              <w:top w:type="dxa" w:w="60"/>
              <w:left w:type="dxa" w:w="100"/>
              <w:bottom w:type="dxa" w:w="60"/>
              <w:right w:type="dxa" w:w="80"/>
            </w:tcMar>
          </w:tcPr>
          <w:p>
            <w:r>
              <w:rPr>
                <w:rFonts w:ascii="Arial" w:cs="Arial" w:eastAsia="Arial" w:hAnsi="Arial"/>
                <w:b/>
                <w:bCs/>
                <w:color w:val="7A6848"/>
                <w:sz w:val="18"/>
                <w:szCs w:val="18"/>
              </w:rPr>
              <w:t xml:space="preserve">Macro Forms</w:t>
            </w:r>
          </w:p>
        </w:tc>
        <w:tc>
          <w:tcPr>
            <w:tcW w:type="dxa" w:w="7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40A"/>
                <w:sz w:val="20"/>
                <w:szCs w:val="20"/>
              </w:rPr>
              <w:t xml:space="preserve">tos3_macro_YYYY-MM-DD — one key per date</w:t>
            </w:r>
          </w:p>
        </w:tc>
      </w:tr>
      <w:tr>
        <w:tc>
          <w:tcPr>
            <w:tcW w:type="dxa" w:w="2400"/>
            <w:tcBorders>
              <w:top w:val="none" w:color="FFFFFF" w:sz="0"/>
              <w:left w:val="none" w:color="FFFFFF" w:sz="0"/>
              <w:bottom w:val="none" w:color="FFFFFF" w:sz="0"/>
              <w:right w:val="none" w:color="FFFFFF" w:sz="0"/>
            </w:tcBorders>
            <w:shd w:fill="F0EBE0" w:val="clear"/>
            <w:tcMar>
              <w:top w:type="dxa" w:w="60"/>
              <w:left w:type="dxa" w:w="100"/>
              <w:bottom w:type="dxa" w:w="60"/>
              <w:right w:type="dxa" w:w="80"/>
            </w:tcMar>
          </w:tcPr>
          <w:p>
            <w:r>
              <w:rPr>
                <w:rFonts w:ascii="Arial" w:cs="Arial" w:eastAsia="Arial" w:hAnsi="Arial"/>
                <w:b/>
                <w:bCs/>
                <w:color w:val="7A6848"/>
                <w:sz w:val="18"/>
                <w:szCs w:val="18"/>
              </w:rPr>
              <w:t xml:space="preserve">Journal</w:t>
            </w:r>
          </w:p>
        </w:tc>
        <w:tc>
          <w:tcPr>
            <w:tcW w:type="dxa" w:w="7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40A"/>
                <w:sz w:val="20"/>
                <w:szCs w:val="20"/>
              </w:rPr>
              <w:t xml:space="preserve">tos3_journal — array of all journal entries</w:t>
            </w:r>
          </w:p>
        </w:tc>
      </w:tr>
      <w:tr>
        <w:tc>
          <w:tcPr>
            <w:tcW w:type="dxa" w:w="2400"/>
            <w:tcBorders>
              <w:top w:val="none" w:color="FFFFFF" w:sz="0"/>
              <w:left w:val="none" w:color="FFFFFF" w:sz="0"/>
              <w:bottom w:val="none" w:color="FFFFFF" w:sz="0"/>
              <w:right w:val="none" w:color="FFFFFF" w:sz="0"/>
            </w:tcBorders>
            <w:shd w:fill="F0EBE0" w:val="clear"/>
            <w:tcMar>
              <w:top w:type="dxa" w:w="60"/>
              <w:left w:type="dxa" w:w="100"/>
              <w:bottom w:type="dxa" w:w="60"/>
              <w:right w:type="dxa" w:w="80"/>
            </w:tcMar>
          </w:tcPr>
          <w:p>
            <w:r>
              <w:rPr>
                <w:rFonts w:ascii="Arial" w:cs="Arial" w:eastAsia="Arial" w:hAnsi="Arial"/>
                <w:b/>
                <w:bCs/>
                <w:color w:val="7A6848"/>
                <w:sz w:val="18"/>
                <w:szCs w:val="18"/>
              </w:rPr>
              <w:t xml:space="preserve">Theme</w:t>
            </w:r>
          </w:p>
        </w:tc>
        <w:tc>
          <w:tcPr>
            <w:tcW w:type="dxa" w:w="7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1A140A"/>
                <w:sz w:val="20"/>
                <w:szCs w:val="20"/>
              </w:rPr>
              <w:t xml:space="preserve">tos3_theme — 'light' or 'dark'</w:t>
            </w:r>
          </w:p>
        </w:tc>
      </w:tr>
    </w:tbl>
    <w:p>
      <w:pPr>
        <w:spacing w:after="0" w:before="80"/>
      </w:pPr>
    </w:p>
    <w:p>
      <w:pPr>
        <w:spacing w:after="80" w:before="60"/>
      </w:pPr>
      <w:r>
        <w:rPr>
          <w:rFonts w:ascii="Arial" w:cs="Arial" w:eastAsia="Arial" w:hAnsi="Arial"/>
          <w:b w:val="false"/>
          <w:bCs w:val="false"/>
          <w:i w:val="false"/>
          <w:iCs w:val="false"/>
          <w:color w:val="1A140A"/>
          <w:sz w:val="22"/>
          <w:szCs w:val="22"/>
        </w:rPr>
        <w:t xml:space="preserve">Data persists indefinitely unless the browser cache is cleared or localStorage is manually reset. To back up your data, open the browser DevTools console and run: JSON.stringify(localStorage)</w:t>
      </w:r>
    </w:p>
    <w:p>
      <w:pPr>
        <w:pBdr>
          <w:bottom w:val="single" w:color="DDD5C5" w:sz="4" w:space="1"/>
        </w:pBdr>
        <w:spacing w:after="120" w:before="120"/>
      </w:pPr>
    </w:p>
    <w:p>
      <w:pPr>
        <w:pStyle w:val="Heading1"/>
        <w:pBdr>
          <w:bottom w:val="single" w:color="C28A1A" w:sz="8" w:space="6"/>
        </w:pBdr>
        <w:spacing w:after="120" w:before="320"/>
      </w:pPr>
      <w:r>
        <w:rPr>
          <w:rFonts w:ascii="Arial" w:cs="Arial" w:eastAsia="Arial" w:hAnsi="Arial"/>
          <w:b/>
          <w:bCs/>
          <w:color w:val="8B5E0A"/>
          <w:sz w:val="32"/>
          <w:szCs w:val="32"/>
        </w:rPr>
        <w:t xml:space="preserve">Core Trading Rules Embedded in the System</w:t>
      </w:r>
    </w:p>
    <w:p>
      <w:pPr>
        <w:spacing w:after="80" w:before="60"/>
      </w:pPr>
      <w:r>
        <w:rPr>
          <w:rFonts w:ascii="Arial" w:cs="Arial" w:eastAsia="Arial" w:hAnsi="Arial"/>
          <w:b w:val="false"/>
          <w:bCs w:val="false"/>
          <w:i w:val="false"/>
          <w:iCs w:val="false"/>
          <w:color w:val="1A140A"/>
          <w:sz w:val="22"/>
          <w:szCs w:val="22"/>
        </w:rPr>
        <w:t xml:space="preserve">The following rules are hard-coded into the system behavior — they are not optional and cannot be bypassed within the app.</w:t>
      </w:r>
    </w:p>
    <w:p>
      <w:pPr>
        <w:spacing w:after="0" w:before="80"/>
      </w:pPr>
    </w:p>
    <w:p>
      <w:pPr>
        <w:spacing w:after="60" w:before="60"/>
      </w:pPr>
      <w:r>
        <w:rPr>
          <w:rFonts w:ascii="Arial" w:cs="Arial" w:eastAsia="Arial" w:hAnsi="Arial"/>
          <w:b/>
          <w:bCs/>
          <w:color w:val="9B2B2B"/>
          <w:sz w:val="18"/>
          <w:szCs w:val="18"/>
        </w:rPr>
        <w:t xml:space="preserve">RULE 1  </w:t>
      </w:r>
      <w:r>
        <w:rPr>
          <w:rFonts w:ascii="Arial" w:cs="Arial" w:eastAsia="Arial" w:hAnsi="Arial"/>
          <w:color w:val="1A140A"/>
          <w:sz w:val="22"/>
          <w:szCs w:val="22"/>
        </w:rPr>
        <w:t xml:space="preserve">All 10 pre-trade checklist items must be checked before a trade can be saved.</w:t>
      </w:r>
    </w:p>
    <w:p>
      <w:pPr>
        <w:spacing w:after="60" w:before="60"/>
      </w:pPr>
      <w:r>
        <w:rPr>
          <w:rFonts w:ascii="Arial" w:cs="Arial" w:eastAsia="Arial" w:hAnsi="Arial"/>
          <w:b/>
          <w:bCs/>
          <w:color w:val="9B2B2B"/>
          <w:sz w:val="18"/>
          <w:szCs w:val="18"/>
        </w:rPr>
        <w:t xml:space="preserve">RULE 2  </w:t>
      </w:r>
      <w:r>
        <w:rPr>
          <w:rFonts w:ascii="Arial" w:cs="Arial" w:eastAsia="Arial" w:hAnsi="Arial"/>
          <w:color w:val="1A140A"/>
          <w:sz w:val="22"/>
          <w:szCs w:val="22"/>
        </w:rPr>
        <w:t xml:space="preserve">Minimum 1:1.5 RR is required. The RR calculator runs live — if it shows below threshold, the setup fails the checklist.</w:t>
      </w:r>
    </w:p>
    <w:p>
      <w:pPr>
        <w:spacing w:after="60" w:before="60"/>
      </w:pPr>
      <w:r>
        <w:rPr>
          <w:rFonts w:ascii="Arial" w:cs="Arial" w:eastAsia="Arial" w:hAnsi="Arial"/>
          <w:b/>
          <w:bCs/>
          <w:color w:val="9B2B2B"/>
          <w:sz w:val="18"/>
          <w:szCs w:val="18"/>
        </w:rPr>
        <w:t xml:space="preserve">RULE 3  </w:t>
      </w:r>
      <w:r>
        <w:rPr>
          <w:rFonts w:ascii="Arial" w:cs="Arial" w:eastAsia="Arial" w:hAnsi="Arial"/>
          <w:color w:val="1A140A"/>
          <w:sz w:val="22"/>
          <w:szCs w:val="22"/>
        </w:rPr>
        <w:t xml:space="preserve">Session window is 07:00–12:00 ET. The session bar and checklist item enforce this awareness.</w:t>
      </w:r>
    </w:p>
    <w:p>
      <w:pPr>
        <w:spacing w:after="60" w:before="60"/>
      </w:pPr>
      <w:r>
        <w:rPr>
          <w:rFonts w:ascii="Arial" w:cs="Arial" w:eastAsia="Arial" w:hAnsi="Arial"/>
          <w:b/>
          <w:bCs/>
          <w:color w:val="8B5E0A"/>
          <w:sz w:val="18"/>
          <w:szCs w:val="18"/>
        </w:rPr>
        <w:t xml:space="preserve">RULE 4  </w:t>
      </w:r>
      <w:r>
        <w:rPr>
          <w:rFonts w:ascii="Arial" w:cs="Arial" w:eastAsia="Arial" w:hAnsi="Arial"/>
          <w:color w:val="1A140A"/>
          <w:sz w:val="22"/>
          <w:szCs w:val="22"/>
        </w:rPr>
        <w:t xml:space="preserve">No trade can be logged without an account assigned. Every trade is linked to a specific funded account.</w:t>
      </w:r>
    </w:p>
    <w:p>
      <w:pPr>
        <w:spacing w:after="60" w:before="60"/>
      </w:pPr>
      <w:r>
        <w:rPr>
          <w:rFonts w:ascii="Arial" w:cs="Arial" w:eastAsia="Arial" w:hAnsi="Arial"/>
          <w:b/>
          <w:bCs/>
          <w:color w:val="8B5E0A"/>
          <w:sz w:val="18"/>
          <w:szCs w:val="18"/>
        </w:rPr>
        <w:t xml:space="preserve">RULE 5  </w:t>
      </w:r>
      <w:r>
        <w:rPr>
          <w:rFonts w:ascii="Arial" w:cs="Arial" w:eastAsia="Arial" w:hAnsi="Arial"/>
          <w:color w:val="1A140A"/>
          <w:sz w:val="22"/>
          <w:szCs w:val="22"/>
        </w:rPr>
        <w:t xml:space="preserve">Emotion at entry is required. Revenge mode triggers a warning advisory on the Dashboard.</w:t>
      </w:r>
    </w:p>
    <w:p>
      <w:pPr>
        <w:spacing w:after="60" w:before="60"/>
      </w:pPr>
      <w:r>
        <w:rPr>
          <w:rFonts w:ascii="Arial" w:cs="Arial" w:eastAsia="Arial" w:hAnsi="Arial"/>
          <w:b/>
          <w:bCs/>
          <w:color w:val="8B5E0A"/>
          <w:sz w:val="18"/>
          <w:szCs w:val="18"/>
        </w:rPr>
        <w:t xml:space="preserve">RULE 6  </w:t>
      </w:r>
      <w:r>
        <w:rPr>
          <w:rFonts w:ascii="Arial" w:cs="Arial" w:eastAsia="Arial" w:hAnsi="Arial"/>
          <w:color w:val="1A140A"/>
          <w:sz w:val="22"/>
          <w:szCs w:val="22"/>
        </w:rPr>
        <w:t xml:space="preserve">Setup type must come from the named library. 'Looks good' is not a setup name.</w:t>
      </w:r>
    </w:p>
    <w:p>
      <w:pPr>
        <w:pBdr>
          <w:bottom w:val="single" w:color="DDD5C5" w:sz="4" w:space="1"/>
        </w:pBdr>
        <w:spacing w:after="120" w:before="120"/>
      </w:pPr>
    </w:p>
    <w:p>
      <w:pPr>
        <w:pStyle w:val="Heading1"/>
        <w:pBdr>
          <w:bottom w:val="single" w:color="C28A1A" w:sz="8" w:space="6"/>
        </w:pBdr>
        <w:spacing w:after="120" w:before="320"/>
      </w:pPr>
      <w:r>
        <w:rPr>
          <w:rFonts w:ascii="Arial" w:cs="Arial" w:eastAsia="Arial" w:hAnsi="Arial"/>
          <w:b/>
          <w:bCs/>
          <w:color w:val="8B5E0A"/>
          <w:sz w:val="32"/>
          <w:szCs w:val="32"/>
        </w:rPr>
        <w:t xml:space="preserve">Technical Notes</w:t>
      </w:r>
    </w:p>
    <w:p>
      <w:pPr>
        <w:pStyle w:val="ListParagraph"/>
        <w:numPr>
          <w:ilvl w:val="0"/>
          <w:numId w:val="2"/>
        </w:numPr>
        <w:spacing w:after="40" w:before="40"/>
      </w:pPr>
      <w:r>
        <w:rPr>
          <w:rFonts w:ascii="Arial" w:cs="Arial" w:eastAsia="Arial" w:hAnsi="Arial"/>
          <w:color w:val="1A140A"/>
          <w:sz w:val="22"/>
          <w:szCs w:val="22"/>
        </w:rPr>
        <w:t xml:space="preserve">No build step</w:t>
      </w:r>
      <w:r>
        <w:rPr>
          <w:rFonts w:ascii="Arial" w:cs="Arial" w:eastAsia="Arial" w:hAnsi="Arial"/>
          <w:i/>
          <w:iCs/>
          <w:color w:val="7A6848"/>
          <w:sz w:val="20"/>
          <w:szCs w:val="20"/>
        </w:rPr>
        <w:t xml:space="preserve">  The file is plain HTML — edit it in any text editor and upload directly</w:t>
      </w:r>
    </w:p>
    <w:p>
      <w:pPr>
        <w:pStyle w:val="ListParagraph"/>
        <w:numPr>
          <w:ilvl w:val="0"/>
          <w:numId w:val="2"/>
        </w:numPr>
        <w:spacing w:after="40" w:before="40"/>
      </w:pPr>
      <w:r>
        <w:rPr>
          <w:rFonts w:ascii="Arial" w:cs="Arial" w:eastAsia="Arial" w:hAnsi="Arial"/>
          <w:color w:val="1A140A"/>
          <w:sz w:val="22"/>
          <w:szCs w:val="22"/>
        </w:rPr>
        <w:t xml:space="preserve">No framework</w:t>
      </w:r>
      <w:r>
        <w:rPr>
          <w:rFonts w:ascii="Arial" w:cs="Arial" w:eastAsia="Arial" w:hAnsi="Arial"/>
          <w:i/>
          <w:iCs/>
          <w:color w:val="7A6848"/>
          <w:sz w:val="20"/>
          <w:szCs w:val="20"/>
        </w:rPr>
        <w:t xml:space="preserve">  Vanilla JavaScript only — no React, Vue, or jQuery</w:t>
      </w:r>
    </w:p>
    <w:p>
      <w:pPr>
        <w:pStyle w:val="ListParagraph"/>
        <w:numPr>
          <w:ilvl w:val="0"/>
          <w:numId w:val="2"/>
        </w:numPr>
        <w:spacing w:after="40" w:before="40"/>
      </w:pPr>
      <w:r>
        <w:rPr>
          <w:rFonts w:ascii="Arial" w:cs="Arial" w:eastAsia="Arial" w:hAnsi="Arial"/>
          <w:color w:val="1A140A"/>
          <w:sz w:val="22"/>
          <w:szCs w:val="22"/>
        </w:rPr>
        <w:t xml:space="preserve">One external library</w:t>
      </w:r>
      <w:r>
        <w:rPr>
          <w:rFonts w:ascii="Arial" w:cs="Arial" w:eastAsia="Arial" w:hAnsi="Arial"/>
          <w:i/>
          <w:iCs/>
          <w:color w:val="7A6848"/>
          <w:sz w:val="20"/>
          <w:szCs w:val="20"/>
        </w:rPr>
        <w:t xml:space="preserve">  Chart.js loaded via CDN — required for analytics charts</w:t>
      </w:r>
    </w:p>
    <w:p>
      <w:pPr>
        <w:pStyle w:val="ListParagraph"/>
        <w:numPr>
          <w:ilvl w:val="0"/>
          <w:numId w:val="2"/>
        </w:numPr>
        <w:spacing w:after="40" w:before="40"/>
      </w:pPr>
      <w:r>
        <w:rPr>
          <w:rFonts w:ascii="Arial" w:cs="Arial" w:eastAsia="Arial" w:hAnsi="Arial"/>
          <w:color w:val="1A140A"/>
          <w:sz w:val="22"/>
          <w:szCs w:val="22"/>
        </w:rPr>
        <w:t xml:space="preserve">Mobile-first</w:t>
      </w:r>
      <w:r>
        <w:rPr>
          <w:rFonts w:ascii="Arial" w:cs="Arial" w:eastAsia="Arial" w:hAnsi="Arial"/>
          <w:i/>
          <w:iCs/>
          <w:color w:val="7A6848"/>
          <w:sz w:val="20"/>
          <w:szCs w:val="20"/>
        </w:rPr>
        <w:t xml:space="preserve">  Bottom nav activates on small screens, top nav on desktop via media query</w:t>
      </w:r>
    </w:p>
    <w:p>
      <w:pPr>
        <w:pStyle w:val="ListParagraph"/>
        <w:numPr>
          <w:ilvl w:val="0"/>
          <w:numId w:val="2"/>
        </w:numPr>
        <w:spacing w:after="40" w:before="40"/>
      </w:pPr>
      <w:r>
        <w:rPr>
          <w:rFonts w:ascii="Arial" w:cs="Arial" w:eastAsia="Arial" w:hAnsi="Arial"/>
          <w:color w:val="1A140A"/>
          <w:sz w:val="22"/>
          <w:szCs w:val="22"/>
        </w:rPr>
        <w:t xml:space="preserve">iOS Safari</w:t>
      </w:r>
      <w:r>
        <w:rPr>
          <w:rFonts w:ascii="Arial" w:cs="Arial" w:eastAsia="Arial" w:hAnsi="Arial"/>
          <w:i/>
          <w:iCs/>
          <w:color w:val="7A6848"/>
          <w:sz w:val="20"/>
          <w:szCs w:val="20"/>
        </w:rPr>
        <w:t xml:space="preserve">  Touch event handling and tap highlight suppression built in — works as a home screen app</w:t>
      </w:r>
    </w:p>
    <w:p>
      <w:pPr>
        <w:pStyle w:val="ListParagraph"/>
        <w:numPr>
          <w:ilvl w:val="0"/>
          <w:numId w:val="2"/>
        </w:numPr>
        <w:spacing w:after="40" w:before="40"/>
      </w:pPr>
      <w:r>
        <w:rPr>
          <w:rFonts w:ascii="Arial" w:cs="Arial" w:eastAsia="Arial" w:hAnsi="Arial"/>
          <w:color w:val="1A140A"/>
          <w:sz w:val="22"/>
          <w:szCs w:val="22"/>
        </w:rPr>
        <w:t xml:space="preserve">Appearance fix</w:t>
      </w:r>
      <w:r>
        <w:rPr>
          <w:rFonts w:ascii="Arial" w:cs="Arial" w:eastAsia="Arial" w:hAnsi="Arial"/>
          <w:i/>
          <w:iCs/>
          <w:color w:val="7A6848"/>
          <w:sz w:val="20"/>
          <w:szCs w:val="20"/>
        </w:rPr>
        <w:t xml:space="preserve">  Both -webkit-appearance: none and appearance: none are declared for cross-browser input consistency</w:t>
      </w:r>
    </w:p>
    <w:p>
      <w:pPr>
        <w:pStyle w:val="ListParagraph"/>
        <w:numPr>
          <w:ilvl w:val="0"/>
          <w:numId w:val="2"/>
        </w:numPr>
        <w:spacing w:after="40" w:before="40"/>
      </w:pPr>
      <w:r>
        <w:rPr>
          <w:rFonts w:ascii="Arial" w:cs="Arial" w:eastAsia="Arial" w:hAnsi="Arial"/>
          <w:color w:val="1A140A"/>
          <w:sz w:val="22"/>
          <w:szCs w:val="22"/>
        </w:rPr>
        <w:t xml:space="preserve">Chart instances</w:t>
      </w:r>
      <w:r>
        <w:rPr>
          <w:rFonts w:ascii="Arial" w:cs="Arial" w:eastAsia="Arial" w:hAnsi="Arial"/>
          <w:i/>
          <w:iCs/>
          <w:color w:val="7A6848"/>
          <w:sz w:val="20"/>
          <w:szCs w:val="20"/>
        </w:rPr>
        <w:t xml:space="preserve">  All Chart.js instances are tracked in a charts object and destroyed before re-render to prevent memory leaks</w:t>
      </w:r>
    </w:p>
    <w:p>
      <w:pPr>
        <w:pStyle w:val="ListParagraph"/>
        <w:numPr>
          <w:ilvl w:val="0"/>
          <w:numId w:val="2"/>
        </w:numPr>
        <w:spacing w:after="40" w:before="40"/>
      </w:pPr>
      <w:r>
        <w:rPr>
          <w:rFonts w:ascii="Arial" w:cs="Arial" w:eastAsia="Arial" w:hAnsi="Arial"/>
          <w:color w:val="1A140A"/>
          <w:sz w:val="22"/>
          <w:szCs w:val="22"/>
        </w:rPr>
        <w:t xml:space="preserve">Dark mode flash prevention</w:t>
      </w:r>
      <w:r>
        <w:rPr>
          <w:rFonts w:ascii="Arial" w:cs="Arial" w:eastAsia="Arial" w:hAnsi="Arial"/>
          <w:i/>
          <w:iCs/>
          <w:color w:val="7A6848"/>
          <w:sz w:val="20"/>
          <w:szCs w:val="20"/>
        </w:rPr>
        <w:t xml:space="preserve">  A blocking script in the head reads localStorage before the page renders — prevents flash of light mode on dark mode users</w:t>
      </w:r>
    </w:p>
    <w:p>
      <w:pPr>
        <w:pBdr>
          <w:bottom w:val="single" w:color="DDD5C5" w:sz="4" w:space="1"/>
        </w:pBdr>
        <w:spacing w:after="120" w:before="120"/>
      </w:pPr>
    </w:p>
    <w:p>
      <w:pPr>
        <w:spacing w:after="0" w:before="200"/>
        <w:jc w:val="center"/>
      </w:pPr>
      <w:r>
        <w:rPr>
          <w:rFonts w:ascii="Arial" w:cs="Arial" w:eastAsia="Arial" w:hAnsi="Arial"/>
          <w:color w:val="7A6848"/>
          <w:sz w:val="18"/>
          <w:szCs w:val="18"/>
        </w:rPr>
        <w:t xml:space="preserve">TradeOS  ·  HiddenOS Project  ·  Confidential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8B5E0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14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2026-03-18T13:34:14.897Z</dcterms:created>
  <dcterms:modified xsi:type="dcterms:W3CDTF">2026-03-18T13:34:14.898Z</dcterms:modified>
</cp:coreProperties>
</file>

<file path=docProps/custom.xml><?xml version="1.0" encoding="utf-8"?>
<Properties xmlns="http://schemas.openxmlformats.org/officeDocument/2006/custom-properties" xmlns:vt="http://schemas.openxmlformats.org/officeDocument/2006/docPropsVTypes"/>
</file>