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359C" w14:textId="77777777" w:rsidR="00EA74BC" w:rsidRPr="00E77118" w:rsidRDefault="00EA74BC" w:rsidP="00EA74BC">
      <w:pPr>
        <w:pStyle w:val="ListParagraph"/>
        <w:spacing w:after="120"/>
        <w:rPr>
          <w:b/>
          <w:bCs/>
          <w:color w:val="000000" w:themeColor="text1"/>
        </w:rPr>
      </w:pPr>
      <w:proofErr w:type="spellStart"/>
      <w:r w:rsidRPr="00E77118">
        <w:rPr>
          <w:b/>
          <w:bCs/>
          <w:color w:val="000000" w:themeColor="text1"/>
        </w:rPr>
        <w:t>SignalPath</w:t>
      </w:r>
      <w:proofErr w:type="spellEnd"/>
      <w:r w:rsidRPr="00E77118">
        <w:rPr>
          <w:b/>
          <w:bCs/>
          <w:color w:val="000000" w:themeColor="text1"/>
        </w:rPr>
        <w:t>-Finder: Identifying TOR Complex Downstream Targets via Pseudo-Peak-Based Ranking and Autoencoder Optimization</w:t>
      </w:r>
    </w:p>
    <w:p w14:paraId="724B86AC" w14:textId="77777777" w:rsidR="00EA74BC" w:rsidRDefault="00EA74BC" w:rsidP="00EA74BC">
      <w:pPr>
        <w:pStyle w:val="MDPI13authornames"/>
        <w:spacing w:after="0" w:line="240" w:lineRule="auto"/>
        <w:rPr>
          <w:color w:val="000000" w:themeColor="text1"/>
          <w:lang w:val="en"/>
        </w:rPr>
      </w:pPr>
    </w:p>
    <w:p w14:paraId="567A6EFE" w14:textId="77777777" w:rsidR="00EA74BC" w:rsidRDefault="00EA74BC" w:rsidP="00EA74BC">
      <w:pPr>
        <w:pStyle w:val="MDPI13authornames"/>
        <w:spacing w:after="0" w:line="240" w:lineRule="auto"/>
        <w:rPr>
          <w:color w:val="000000" w:themeColor="text1"/>
        </w:rPr>
      </w:pPr>
      <w:r w:rsidRPr="004962C3">
        <w:rPr>
          <w:color w:val="000000" w:themeColor="text1"/>
          <w:lang w:val="en"/>
        </w:rPr>
        <w:t xml:space="preserve">Md Khairul Islam </w:t>
      </w:r>
      <w:r w:rsidRPr="004962C3">
        <w:rPr>
          <w:color w:val="000000" w:themeColor="text1"/>
          <w:vertAlign w:val="superscript"/>
          <w:lang w:val="en"/>
        </w:rPr>
        <w:t>1,3</w:t>
      </w:r>
      <w:r w:rsidRPr="004962C3">
        <w:rPr>
          <w:color w:val="000000" w:themeColor="text1"/>
          <w:lang w:val="en"/>
        </w:rPr>
        <w:t xml:space="preserve">, </w:t>
      </w:r>
      <w:r>
        <w:rPr>
          <w:color w:val="000000" w:themeColor="text1"/>
          <w:lang w:val="en"/>
        </w:rPr>
        <w:t>Reuben Tayengwa</w:t>
      </w:r>
      <w:r w:rsidRPr="004366F4">
        <w:rPr>
          <w:color w:val="000000" w:themeColor="text1"/>
          <w:vertAlign w:val="superscript"/>
          <w:lang w:val="en"/>
        </w:rPr>
        <w:t>5</w:t>
      </w:r>
      <w:r>
        <w:rPr>
          <w:color w:val="000000" w:themeColor="text1"/>
          <w:lang w:val="en"/>
        </w:rPr>
        <w:t>, Anil Kumar</w:t>
      </w:r>
      <w:r w:rsidRPr="004366F4">
        <w:rPr>
          <w:color w:val="000000" w:themeColor="text1"/>
          <w:vertAlign w:val="superscript"/>
          <w:lang w:val="en"/>
        </w:rPr>
        <w:t>5</w:t>
      </w:r>
      <w:r>
        <w:rPr>
          <w:color w:val="000000" w:themeColor="text1"/>
          <w:lang w:val="en"/>
        </w:rPr>
        <w:t>, Kaiwen Lv</w:t>
      </w:r>
      <w:r w:rsidRPr="004366F4">
        <w:rPr>
          <w:color w:val="000000" w:themeColor="text1"/>
          <w:vertAlign w:val="superscript"/>
          <w:lang w:val="en"/>
        </w:rPr>
        <w:t>3</w:t>
      </w:r>
      <w:r>
        <w:rPr>
          <w:color w:val="000000" w:themeColor="text1"/>
          <w:lang w:val="en"/>
        </w:rPr>
        <w:t>, Yiping Qi</w:t>
      </w:r>
      <w:r w:rsidRPr="004374E7">
        <w:rPr>
          <w:vertAlign w:val="superscript"/>
        </w:rPr>
        <w:t>4</w:t>
      </w:r>
      <w:r>
        <w:rPr>
          <w:color w:val="000000" w:themeColor="text1"/>
          <w:lang w:val="en"/>
        </w:rPr>
        <w:t>, Victor Busov</w:t>
      </w:r>
      <w:r w:rsidRPr="004366F4">
        <w:rPr>
          <w:color w:val="000000" w:themeColor="text1"/>
          <w:vertAlign w:val="superscript"/>
          <w:lang w:val="en"/>
        </w:rPr>
        <w:t>3</w:t>
      </w:r>
      <w:r>
        <w:rPr>
          <w:color w:val="000000" w:themeColor="text1"/>
          <w:lang w:val="en"/>
        </w:rPr>
        <w:t>, Gary D. Coleman</w:t>
      </w:r>
      <w:r w:rsidRPr="004366F4">
        <w:rPr>
          <w:color w:val="000000" w:themeColor="text1"/>
          <w:vertAlign w:val="superscript"/>
          <w:lang w:val="en"/>
        </w:rPr>
        <w:t xml:space="preserve">4,5 </w:t>
      </w:r>
      <w:r w:rsidRPr="004962C3">
        <w:rPr>
          <w:color w:val="000000" w:themeColor="text1"/>
          <w:lang w:val="en"/>
        </w:rPr>
        <w:t xml:space="preserve">and </w:t>
      </w:r>
      <w:proofErr w:type="spellStart"/>
      <w:r w:rsidRPr="004962C3">
        <w:rPr>
          <w:color w:val="000000" w:themeColor="text1"/>
          <w:lang w:val="en"/>
        </w:rPr>
        <w:t>Hairong</w:t>
      </w:r>
      <w:proofErr w:type="spellEnd"/>
      <w:r w:rsidRPr="004962C3">
        <w:rPr>
          <w:color w:val="000000" w:themeColor="text1"/>
          <w:lang w:val="en"/>
        </w:rPr>
        <w:t xml:space="preserve"> Wei </w:t>
      </w:r>
      <w:r w:rsidRPr="004962C3">
        <w:rPr>
          <w:color w:val="000000" w:themeColor="text1"/>
          <w:vertAlign w:val="superscript"/>
          <w:lang w:val="en"/>
        </w:rPr>
        <w:t>1,2,</w:t>
      </w:r>
      <w:proofErr w:type="gramStart"/>
      <w:r w:rsidRPr="004962C3">
        <w:rPr>
          <w:color w:val="000000" w:themeColor="text1"/>
          <w:vertAlign w:val="superscript"/>
          <w:lang w:val="en"/>
        </w:rPr>
        <w:t>3</w:t>
      </w:r>
      <w:r>
        <w:rPr>
          <w:color w:val="000000" w:themeColor="text1"/>
          <w:vertAlign w:val="superscript"/>
          <w:lang w:val="en"/>
        </w:rPr>
        <w:t xml:space="preserve"> </w:t>
      </w:r>
      <w:r w:rsidRPr="004962C3">
        <w:rPr>
          <w:color w:val="000000" w:themeColor="text1"/>
          <w:vertAlign w:val="superscript"/>
          <w:lang w:val="en"/>
        </w:rPr>
        <w:t>,</w:t>
      </w:r>
      <w:proofErr w:type="gramEnd"/>
      <w:r w:rsidRPr="004962C3">
        <w:rPr>
          <w:color w:val="000000" w:themeColor="text1"/>
        </w:rPr>
        <w:t>*</w:t>
      </w:r>
    </w:p>
    <w:p w14:paraId="3200DF84" w14:textId="77777777" w:rsidR="00EA74BC" w:rsidRPr="004366F4" w:rsidRDefault="00EA74BC" w:rsidP="00EA74BC">
      <w:pPr>
        <w:rPr>
          <w:lang w:eastAsia="de-DE" w:bidi="en-US"/>
        </w:rPr>
      </w:pPr>
    </w:p>
    <w:p w14:paraId="668B8B3D" w14:textId="77777777" w:rsidR="00EA74BC" w:rsidRPr="004962C3" w:rsidRDefault="00EA74BC" w:rsidP="00EA74BC">
      <w:pPr>
        <w:pStyle w:val="MDPI16affiliation"/>
        <w:spacing w:line="240" w:lineRule="auto"/>
        <w:ind w:left="0" w:firstLine="0"/>
        <w:rPr>
          <w:color w:val="000000" w:themeColor="text1"/>
          <w:lang w:eastAsia="zh-CN"/>
        </w:rPr>
      </w:pPr>
      <w:r w:rsidRPr="004962C3">
        <w:rPr>
          <w:color w:val="000000" w:themeColor="text1"/>
          <w:vertAlign w:val="superscript"/>
        </w:rPr>
        <w:t>1</w:t>
      </w:r>
      <w:r w:rsidRPr="004962C3">
        <w:rPr>
          <w:color w:val="000000" w:themeColor="text1"/>
        </w:rPr>
        <w:t>Computational Science and Engineering, Michigan Technological University, Houghton, MI 49931, USA</w:t>
      </w:r>
    </w:p>
    <w:p w14:paraId="12699D85" w14:textId="77777777" w:rsidR="00EA74BC" w:rsidRPr="004962C3" w:rsidRDefault="00EA74BC" w:rsidP="00EA74BC">
      <w:pPr>
        <w:pStyle w:val="MDPI16affiliation"/>
        <w:spacing w:line="240" w:lineRule="auto"/>
        <w:ind w:left="0" w:firstLine="0"/>
        <w:rPr>
          <w:color w:val="000000" w:themeColor="text1"/>
        </w:rPr>
      </w:pPr>
      <w:r w:rsidRPr="004962C3">
        <w:rPr>
          <w:color w:val="000000" w:themeColor="text1"/>
          <w:vertAlign w:val="superscript"/>
        </w:rPr>
        <w:t>2</w:t>
      </w:r>
      <w:r w:rsidRPr="004962C3">
        <w:rPr>
          <w:color w:val="000000" w:themeColor="text1"/>
        </w:rPr>
        <w:t>College of Computing, Michigan Technological University, Houghton, MI 49931, USA</w:t>
      </w:r>
    </w:p>
    <w:p w14:paraId="78CCC28B" w14:textId="77777777" w:rsidR="00EA74BC" w:rsidRPr="004962C3" w:rsidRDefault="00EA74BC" w:rsidP="00EA74BC">
      <w:pPr>
        <w:pStyle w:val="MDPI16affiliation"/>
        <w:spacing w:line="240" w:lineRule="auto"/>
        <w:ind w:left="0" w:firstLine="0"/>
        <w:rPr>
          <w:color w:val="000000" w:themeColor="text1"/>
        </w:rPr>
      </w:pPr>
      <w:r w:rsidRPr="004962C3">
        <w:rPr>
          <w:color w:val="000000" w:themeColor="text1"/>
          <w:vertAlign w:val="superscript"/>
        </w:rPr>
        <w:t>3</w:t>
      </w:r>
      <w:r w:rsidRPr="004962C3">
        <w:rPr>
          <w:color w:val="000000" w:themeColor="text1"/>
        </w:rPr>
        <w:t>College of Forest Resources and Environmental Science, Michigan Technological University, Houghton, MI 49931, USA</w:t>
      </w:r>
    </w:p>
    <w:p w14:paraId="6250366B" w14:textId="77777777" w:rsidR="00EA74BC" w:rsidRPr="004374E7" w:rsidRDefault="00EA74BC" w:rsidP="00EA74BC">
      <w:pPr>
        <w:pStyle w:val="MDPI16affiliation"/>
        <w:spacing w:line="240" w:lineRule="auto"/>
        <w:ind w:left="0" w:firstLine="0"/>
        <w:rPr>
          <w:color w:val="000000" w:themeColor="text1"/>
        </w:rPr>
      </w:pPr>
      <w:r w:rsidRPr="004374E7">
        <w:rPr>
          <w:vertAlign w:val="superscript"/>
        </w:rPr>
        <w:t>4</w:t>
      </w:r>
      <w:r>
        <w:t xml:space="preserve"> </w:t>
      </w:r>
      <w:r w:rsidRPr="004374E7">
        <w:rPr>
          <w:color w:val="000000" w:themeColor="text1"/>
        </w:rPr>
        <w:t xml:space="preserve">Department of Plant Science and Landscape Architecture, University of Maryland, College Park, MD, 20742, USA </w:t>
      </w:r>
    </w:p>
    <w:p w14:paraId="3A44A4AD" w14:textId="77777777" w:rsidR="00EA74BC" w:rsidRPr="004374E7" w:rsidRDefault="00EA74BC" w:rsidP="00EA74BC">
      <w:pPr>
        <w:pStyle w:val="MDPI16affiliation"/>
        <w:spacing w:line="240" w:lineRule="auto"/>
        <w:ind w:left="0" w:firstLine="0"/>
        <w:rPr>
          <w:color w:val="000000" w:themeColor="text1"/>
        </w:rPr>
      </w:pPr>
      <w:r w:rsidRPr="004374E7">
        <w:rPr>
          <w:color w:val="000000" w:themeColor="text1"/>
          <w:vertAlign w:val="superscript"/>
        </w:rPr>
        <w:t xml:space="preserve">5 </w:t>
      </w:r>
      <w:r w:rsidRPr="004374E7">
        <w:rPr>
          <w:color w:val="000000" w:themeColor="text1"/>
        </w:rPr>
        <w:t xml:space="preserve">Institute for Bioscience and Biotechnology Research, University of Maryland, Rockville, MD 20850, USA </w:t>
      </w:r>
    </w:p>
    <w:p w14:paraId="363A8789" w14:textId="77777777" w:rsidR="00D569E5" w:rsidRDefault="00D569E5"/>
    <w:p w14:paraId="4A5FD14D" w14:textId="6346B785" w:rsidR="00EA74BC" w:rsidRPr="00EA74BC" w:rsidRDefault="00EA74BC" w:rsidP="00EA74BC">
      <w:pPr>
        <w:spacing w:before="240"/>
        <w:jc w:val="both"/>
        <w:rPr>
          <w:b/>
          <w:bCs/>
          <w:sz w:val="22"/>
          <w:szCs w:val="22"/>
        </w:rPr>
      </w:pPr>
      <w:r w:rsidRPr="00EA74BC">
        <w:rPr>
          <w:b/>
          <w:bCs/>
          <w:sz w:val="22"/>
          <w:szCs w:val="22"/>
        </w:rPr>
        <w:t xml:space="preserve">Validation of cluster significance </w:t>
      </w:r>
      <w:r w:rsidRPr="003C264C">
        <w:rPr>
          <w:b/>
          <w:bCs/>
          <w:sz w:val="22"/>
          <w:szCs w:val="22"/>
        </w:rPr>
        <w:t>for TOR related GOs</w:t>
      </w:r>
    </w:p>
    <w:p w14:paraId="58ED492B" w14:textId="379F6B6E" w:rsidR="00EA74BC" w:rsidRPr="00EA74BC" w:rsidRDefault="00EA74BC" w:rsidP="00EA74BC">
      <w:pPr>
        <w:spacing w:before="240"/>
        <w:jc w:val="both"/>
        <w:rPr>
          <w:sz w:val="22"/>
          <w:szCs w:val="22"/>
        </w:rPr>
      </w:pPr>
      <w:r w:rsidRPr="00EA74BC">
        <w:rPr>
          <w:sz w:val="22"/>
          <w:szCs w:val="22"/>
        </w:rPr>
        <w:t xml:space="preserve">The clusters identified by </w:t>
      </w:r>
      <w:proofErr w:type="spellStart"/>
      <w:r w:rsidRPr="00EA74BC">
        <w:rPr>
          <w:sz w:val="22"/>
          <w:szCs w:val="22"/>
        </w:rPr>
        <w:t>SignalPath</w:t>
      </w:r>
      <w:proofErr w:type="spellEnd"/>
      <w:r w:rsidRPr="00EA74BC">
        <w:rPr>
          <w:sz w:val="22"/>
          <w:szCs w:val="22"/>
        </w:rPr>
        <w:t xml:space="preserve">-Finder exhibited strong functional coherence, as reflected by numerous significantly enriched Gene Ontology (GO) terms, including a substantial number associated with TOR signaling. After leaving the KDGs out, the enrichment of TOR-relevant functions changed only slightly, retaining ~ 91–95% original GO functional categories, indicating the functions were not solely driven from the KDGs (Table 3). In the empirical null test, size-matched random gene sets produced far fewer significant GO terms (and TOR-related terms), and none of 1000 trials matched the observed enrichment (empirical p ≈ 0.001), supporting that these clusters are highly unlikely to occur by chance (Table </w:t>
      </w:r>
      <w:r w:rsidR="007E4E0A" w:rsidRPr="003C264C">
        <w:rPr>
          <w:sz w:val="22"/>
          <w:szCs w:val="22"/>
        </w:rPr>
        <w:t>S21</w:t>
      </w:r>
      <w:r w:rsidRPr="00EA74BC">
        <w:rPr>
          <w:sz w:val="22"/>
          <w:szCs w:val="22"/>
        </w:rPr>
        <w:t>).</w:t>
      </w:r>
    </w:p>
    <w:p w14:paraId="221CDA6D" w14:textId="2BC8382A" w:rsidR="00EA74BC" w:rsidRPr="00D541E2" w:rsidRDefault="00EA74BC" w:rsidP="00EA74BC">
      <w:pPr>
        <w:spacing w:before="240"/>
        <w:jc w:val="both"/>
        <w:rPr>
          <w:sz w:val="18"/>
          <w:szCs w:val="18"/>
        </w:rPr>
      </w:pPr>
      <w:r w:rsidRPr="00D541E2">
        <w:rPr>
          <w:b/>
          <w:bCs/>
          <w:sz w:val="18"/>
          <w:szCs w:val="18"/>
        </w:rPr>
        <w:t xml:space="preserve">Table </w:t>
      </w:r>
      <w:r w:rsidR="007E4E0A" w:rsidRPr="00D541E2">
        <w:rPr>
          <w:b/>
          <w:bCs/>
          <w:sz w:val="18"/>
          <w:szCs w:val="18"/>
        </w:rPr>
        <w:t>S</w:t>
      </w:r>
      <w:r w:rsidR="008C4960">
        <w:rPr>
          <w:b/>
          <w:bCs/>
          <w:sz w:val="18"/>
          <w:szCs w:val="18"/>
        </w:rPr>
        <w:t>2.</w:t>
      </w:r>
      <w:r w:rsidR="007E4E0A" w:rsidRPr="00D541E2">
        <w:rPr>
          <w:b/>
          <w:bCs/>
          <w:sz w:val="18"/>
          <w:szCs w:val="18"/>
        </w:rPr>
        <w:t>21</w:t>
      </w:r>
      <w:r w:rsidRPr="00D541E2">
        <w:rPr>
          <w:b/>
          <w:bCs/>
          <w:sz w:val="18"/>
          <w:szCs w:val="18"/>
        </w:rPr>
        <w:t xml:space="preserve">. GO enrichment robustness and empirical null test for </w:t>
      </w:r>
      <w:proofErr w:type="spellStart"/>
      <w:r w:rsidRPr="00D541E2">
        <w:rPr>
          <w:b/>
          <w:bCs/>
          <w:sz w:val="18"/>
          <w:szCs w:val="18"/>
        </w:rPr>
        <w:t>SignalPath</w:t>
      </w:r>
      <w:proofErr w:type="spellEnd"/>
      <w:r w:rsidRPr="00D541E2">
        <w:rPr>
          <w:b/>
          <w:bCs/>
          <w:sz w:val="18"/>
          <w:szCs w:val="18"/>
        </w:rPr>
        <w:t>-Finder clusters in Stem Differentiating Xylem (SDX).</w:t>
      </w:r>
      <w:r w:rsidRPr="00D541E2">
        <w:rPr>
          <w:sz w:val="18"/>
          <w:szCs w:val="18"/>
        </w:rPr>
        <w:t xml:space="preserve"> (A) “Before” uses all genes in </w:t>
      </w:r>
      <w:proofErr w:type="gramStart"/>
      <w:r w:rsidRPr="00D541E2">
        <w:rPr>
          <w:sz w:val="18"/>
          <w:szCs w:val="18"/>
        </w:rPr>
        <w:t>a</w:t>
      </w:r>
      <w:proofErr w:type="gramEnd"/>
      <w:r w:rsidRPr="00D541E2">
        <w:rPr>
          <w:sz w:val="18"/>
          <w:szCs w:val="18"/>
        </w:rPr>
        <w:t xml:space="preserve"> enriched cluster; and “After” is a list of gene excluding KDGs. GO retained and Retention (%) show stability of GO analysis after KDG removal. (B) An empirical null was generated using n size-matched random gene sets which </w:t>
      </w:r>
      <w:proofErr w:type="gramStart"/>
      <w:r w:rsidRPr="00D541E2">
        <w:rPr>
          <w:sz w:val="18"/>
          <w:szCs w:val="18"/>
        </w:rPr>
        <w:t>analyzed  with</w:t>
      </w:r>
      <w:proofErr w:type="gramEnd"/>
      <w:r w:rsidRPr="00D541E2">
        <w:rPr>
          <w:sz w:val="18"/>
          <w:szCs w:val="18"/>
        </w:rPr>
        <w:t xml:space="preserve"> the same GO parameters. It reported the null mean/max counts of significant GO terms (overall and TOR-related) and empirical p-values (fraction of random sets ≥ observed, with +1 smoothing).</w:t>
      </w:r>
    </w:p>
    <w:tbl>
      <w:tblPr>
        <w:tblStyle w:val="TableGrid"/>
        <w:tblW w:w="10885" w:type="dxa"/>
        <w:jc w:val="center"/>
        <w:tblLayout w:type="fixed"/>
        <w:tblLook w:val="04A0" w:firstRow="1" w:lastRow="0" w:firstColumn="1" w:lastColumn="0" w:noHBand="0" w:noVBand="1"/>
      </w:tblPr>
      <w:tblGrid>
        <w:gridCol w:w="805"/>
        <w:gridCol w:w="450"/>
        <w:gridCol w:w="540"/>
        <w:gridCol w:w="630"/>
        <w:gridCol w:w="630"/>
        <w:gridCol w:w="630"/>
        <w:gridCol w:w="630"/>
        <w:gridCol w:w="630"/>
        <w:gridCol w:w="450"/>
        <w:gridCol w:w="720"/>
        <w:gridCol w:w="540"/>
        <w:gridCol w:w="720"/>
        <w:gridCol w:w="630"/>
        <w:gridCol w:w="540"/>
        <w:gridCol w:w="540"/>
        <w:gridCol w:w="540"/>
        <w:gridCol w:w="540"/>
        <w:gridCol w:w="720"/>
      </w:tblGrid>
      <w:tr w:rsidR="00EA74BC" w:rsidRPr="003C264C" w14:paraId="5E745CCD" w14:textId="77777777">
        <w:trPr>
          <w:jc w:val="center"/>
        </w:trPr>
        <w:tc>
          <w:tcPr>
            <w:tcW w:w="805" w:type="dxa"/>
            <w:vMerge w:val="restart"/>
            <w:tcMar>
              <w:left w:w="29" w:type="dxa"/>
              <w:right w:w="29" w:type="dxa"/>
            </w:tcMar>
          </w:tcPr>
          <w:p w14:paraId="47F45F57" w14:textId="77777777" w:rsidR="00EA74BC" w:rsidRPr="00EA74BC" w:rsidRDefault="00EA74BC" w:rsidP="00D541E2">
            <w:pPr>
              <w:spacing w:before="240"/>
              <w:jc w:val="center"/>
              <w:rPr>
                <w:b/>
                <w:bCs/>
                <w:sz w:val="12"/>
                <w:szCs w:val="12"/>
              </w:rPr>
            </w:pPr>
            <w:r w:rsidRPr="00EA74BC">
              <w:rPr>
                <w:b/>
                <w:bCs/>
                <w:sz w:val="12"/>
                <w:szCs w:val="12"/>
              </w:rPr>
              <w:t>Method</w:t>
            </w:r>
          </w:p>
        </w:tc>
        <w:tc>
          <w:tcPr>
            <w:tcW w:w="450" w:type="dxa"/>
            <w:vMerge w:val="restart"/>
            <w:tcMar>
              <w:left w:w="29" w:type="dxa"/>
              <w:right w:w="29" w:type="dxa"/>
            </w:tcMar>
          </w:tcPr>
          <w:p w14:paraId="04FA5AFC" w14:textId="77777777" w:rsidR="00EA74BC" w:rsidRPr="00EA74BC" w:rsidRDefault="00EA74BC" w:rsidP="00D541E2">
            <w:pPr>
              <w:spacing w:before="240"/>
              <w:jc w:val="center"/>
              <w:rPr>
                <w:b/>
                <w:bCs/>
                <w:sz w:val="12"/>
                <w:szCs w:val="12"/>
              </w:rPr>
            </w:pPr>
            <w:r w:rsidRPr="00EA74BC">
              <w:rPr>
                <w:b/>
                <w:bCs/>
                <w:sz w:val="12"/>
                <w:szCs w:val="12"/>
              </w:rPr>
              <w:t>Cluster</w:t>
            </w:r>
          </w:p>
        </w:tc>
        <w:tc>
          <w:tcPr>
            <w:tcW w:w="4860" w:type="dxa"/>
            <w:gridSpan w:val="8"/>
            <w:tcMar>
              <w:left w:w="29" w:type="dxa"/>
              <w:right w:w="29" w:type="dxa"/>
            </w:tcMar>
          </w:tcPr>
          <w:p w14:paraId="138128E0" w14:textId="77777777" w:rsidR="00EA74BC" w:rsidRPr="00EA74BC" w:rsidRDefault="00EA74BC" w:rsidP="00D541E2">
            <w:pPr>
              <w:spacing w:before="240"/>
              <w:jc w:val="center"/>
              <w:rPr>
                <w:b/>
                <w:bCs/>
                <w:sz w:val="12"/>
                <w:szCs w:val="12"/>
              </w:rPr>
            </w:pPr>
            <w:r w:rsidRPr="00EA74BC">
              <w:rPr>
                <w:b/>
                <w:bCs/>
                <w:sz w:val="12"/>
                <w:szCs w:val="12"/>
              </w:rPr>
              <w:t>GO enrichment without Known Downstrem Genes (KDGs)</w:t>
            </w:r>
          </w:p>
        </w:tc>
        <w:tc>
          <w:tcPr>
            <w:tcW w:w="4770" w:type="dxa"/>
            <w:gridSpan w:val="8"/>
            <w:tcMar>
              <w:left w:w="29" w:type="dxa"/>
              <w:right w:w="29" w:type="dxa"/>
            </w:tcMar>
          </w:tcPr>
          <w:p w14:paraId="5D09DD1C" w14:textId="77777777" w:rsidR="00EA74BC" w:rsidRPr="00EA74BC" w:rsidRDefault="00EA74BC" w:rsidP="00D541E2">
            <w:pPr>
              <w:spacing w:before="240"/>
              <w:jc w:val="center"/>
              <w:rPr>
                <w:b/>
                <w:bCs/>
                <w:sz w:val="12"/>
                <w:szCs w:val="12"/>
              </w:rPr>
            </w:pPr>
            <w:r w:rsidRPr="00EA74BC">
              <w:rPr>
                <w:b/>
                <w:bCs/>
                <w:sz w:val="12"/>
                <w:szCs w:val="12"/>
              </w:rPr>
              <w:t>Empirical null test for GO enrichment</w:t>
            </w:r>
          </w:p>
        </w:tc>
      </w:tr>
      <w:tr w:rsidR="00EA74BC" w:rsidRPr="00EA74BC" w14:paraId="1B1F9B81" w14:textId="77777777">
        <w:trPr>
          <w:jc w:val="center"/>
        </w:trPr>
        <w:tc>
          <w:tcPr>
            <w:tcW w:w="805" w:type="dxa"/>
            <w:vMerge/>
            <w:tcMar>
              <w:left w:w="29" w:type="dxa"/>
              <w:right w:w="29" w:type="dxa"/>
            </w:tcMar>
          </w:tcPr>
          <w:p w14:paraId="31191850" w14:textId="77777777" w:rsidR="00EA74BC" w:rsidRPr="00EA74BC" w:rsidRDefault="00EA74BC" w:rsidP="00D541E2">
            <w:pPr>
              <w:spacing w:before="240"/>
              <w:jc w:val="center"/>
              <w:rPr>
                <w:sz w:val="12"/>
                <w:szCs w:val="12"/>
              </w:rPr>
            </w:pPr>
          </w:p>
        </w:tc>
        <w:tc>
          <w:tcPr>
            <w:tcW w:w="450" w:type="dxa"/>
            <w:vMerge/>
            <w:tcMar>
              <w:left w:w="29" w:type="dxa"/>
              <w:right w:w="29" w:type="dxa"/>
            </w:tcMar>
          </w:tcPr>
          <w:p w14:paraId="2AC687DC" w14:textId="77777777" w:rsidR="00EA74BC" w:rsidRPr="00EA74BC" w:rsidRDefault="00EA74BC" w:rsidP="00D541E2">
            <w:pPr>
              <w:spacing w:before="240"/>
              <w:jc w:val="center"/>
              <w:rPr>
                <w:sz w:val="12"/>
                <w:szCs w:val="12"/>
              </w:rPr>
            </w:pPr>
          </w:p>
        </w:tc>
        <w:tc>
          <w:tcPr>
            <w:tcW w:w="540" w:type="dxa"/>
            <w:tcMar>
              <w:left w:w="29" w:type="dxa"/>
              <w:right w:w="29" w:type="dxa"/>
            </w:tcMar>
          </w:tcPr>
          <w:p w14:paraId="1D56D1C0" w14:textId="77777777" w:rsidR="00EA74BC" w:rsidRPr="00EA74BC" w:rsidRDefault="00EA74BC" w:rsidP="00D541E2">
            <w:pPr>
              <w:spacing w:before="240"/>
              <w:jc w:val="center"/>
              <w:rPr>
                <w:sz w:val="12"/>
                <w:szCs w:val="12"/>
              </w:rPr>
            </w:pPr>
            <w:r w:rsidRPr="00EA74BC">
              <w:rPr>
                <w:b/>
                <w:bCs/>
                <w:sz w:val="12"/>
                <w:szCs w:val="12"/>
              </w:rPr>
              <w:t>Cluster size (</w:t>
            </w:r>
            <w:proofErr w:type="spellStart"/>
            <w:r w:rsidRPr="00EA74BC">
              <w:rPr>
                <w:b/>
                <w:bCs/>
                <w:sz w:val="12"/>
                <w:szCs w:val="12"/>
              </w:rPr>
              <w:t>Ptr</w:t>
            </w:r>
            <w:proofErr w:type="spellEnd"/>
            <w:r w:rsidRPr="00EA74BC">
              <w:rPr>
                <w:b/>
                <w:bCs/>
                <w:sz w:val="12"/>
                <w:szCs w:val="12"/>
              </w:rPr>
              <w:t>)</w:t>
            </w:r>
          </w:p>
        </w:tc>
        <w:tc>
          <w:tcPr>
            <w:tcW w:w="630" w:type="dxa"/>
            <w:tcMar>
              <w:left w:w="29" w:type="dxa"/>
              <w:right w:w="29" w:type="dxa"/>
            </w:tcMar>
          </w:tcPr>
          <w:p w14:paraId="26B96986" w14:textId="77777777" w:rsidR="00EA74BC" w:rsidRPr="00EA74BC" w:rsidRDefault="00EA74BC" w:rsidP="00D541E2">
            <w:pPr>
              <w:spacing w:before="240"/>
              <w:jc w:val="center"/>
              <w:rPr>
                <w:sz w:val="12"/>
                <w:szCs w:val="12"/>
              </w:rPr>
            </w:pPr>
            <w:r w:rsidRPr="00EA74BC">
              <w:rPr>
                <w:b/>
                <w:bCs/>
                <w:sz w:val="12"/>
                <w:szCs w:val="12"/>
              </w:rPr>
              <w:t>After KDG removal (</w:t>
            </w:r>
            <w:proofErr w:type="spellStart"/>
            <w:r w:rsidRPr="00EA74BC">
              <w:rPr>
                <w:b/>
                <w:bCs/>
                <w:sz w:val="12"/>
                <w:szCs w:val="12"/>
              </w:rPr>
              <w:t>Ptr</w:t>
            </w:r>
            <w:proofErr w:type="spellEnd"/>
            <w:r w:rsidRPr="00EA74BC">
              <w:rPr>
                <w:b/>
                <w:bCs/>
                <w:sz w:val="12"/>
                <w:szCs w:val="12"/>
              </w:rPr>
              <w:t>)</w:t>
            </w:r>
          </w:p>
        </w:tc>
        <w:tc>
          <w:tcPr>
            <w:tcW w:w="630" w:type="dxa"/>
            <w:tcMar>
              <w:left w:w="29" w:type="dxa"/>
              <w:right w:w="29" w:type="dxa"/>
            </w:tcMar>
          </w:tcPr>
          <w:p w14:paraId="32120B0E" w14:textId="77777777" w:rsidR="00EA74BC" w:rsidRPr="00EA74BC" w:rsidRDefault="00EA74BC" w:rsidP="00D541E2">
            <w:pPr>
              <w:spacing w:before="240"/>
              <w:jc w:val="center"/>
              <w:rPr>
                <w:sz w:val="12"/>
                <w:szCs w:val="12"/>
              </w:rPr>
            </w:pPr>
            <w:r w:rsidRPr="00EA74BC">
              <w:rPr>
                <w:b/>
                <w:bCs/>
                <w:sz w:val="12"/>
                <w:szCs w:val="12"/>
              </w:rPr>
              <w:t># GO terms (before)</w:t>
            </w:r>
          </w:p>
        </w:tc>
        <w:tc>
          <w:tcPr>
            <w:tcW w:w="630" w:type="dxa"/>
            <w:tcMar>
              <w:left w:w="29" w:type="dxa"/>
              <w:right w:w="29" w:type="dxa"/>
            </w:tcMar>
          </w:tcPr>
          <w:p w14:paraId="793ED599" w14:textId="77777777" w:rsidR="00EA74BC" w:rsidRPr="00EA74BC" w:rsidRDefault="00EA74BC" w:rsidP="00D541E2">
            <w:pPr>
              <w:spacing w:before="240"/>
              <w:jc w:val="center"/>
              <w:rPr>
                <w:sz w:val="12"/>
                <w:szCs w:val="12"/>
              </w:rPr>
            </w:pPr>
            <w:r w:rsidRPr="00EA74BC">
              <w:rPr>
                <w:b/>
                <w:bCs/>
                <w:sz w:val="12"/>
                <w:szCs w:val="12"/>
              </w:rPr>
              <w:t># TOR GO terms (before)</w:t>
            </w:r>
          </w:p>
        </w:tc>
        <w:tc>
          <w:tcPr>
            <w:tcW w:w="630" w:type="dxa"/>
            <w:tcMar>
              <w:left w:w="29" w:type="dxa"/>
              <w:right w:w="29" w:type="dxa"/>
            </w:tcMar>
          </w:tcPr>
          <w:p w14:paraId="7A9553A7" w14:textId="77777777" w:rsidR="00EA74BC" w:rsidRPr="00EA74BC" w:rsidRDefault="00EA74BC" w:rsidP="00D541E2">
            <w:pPr>
              <w:spacing w:before="240"/>
              <w:jc w:val="center"/>
              <w:rPr>
                <w:sz w:val="12"/>
                <w:szCs w:val="12"/>
              </w:rPr>
            </w:pPr>
            <w:r w:rsidRPr="00EA74BC">
              <w:rPr>
                <w:b/>
                <w:bCs/>
                <w:sz w:val="12"/>
                <w:szCs w:val="12"/>
              </w:rPr>
              <w:t># GO terms (after)</w:t>
            </w:r>
          </w:p>
        </w:tc>
        <w:tc>
          <w:tcPr>
            <w:tcW w:w="630" w:type="dxa"/>
            <w:tcMar>
              <w:left w:w="29" w:type="dxa"/>
              <w:right w:w="29" w:type="dxa"/>
            </w:tcMar>
          </w:tcPr>
          <w:p w14:paraId="4DB71E49" w14:textId="77777777" w:rsidR="00EA74BC" w:rsidRPr="00EA74BC" w:rsidRDefault="00EA74BC" w:rsidP="00D541E2">
            <w:pPr>
              <w:spacing w:before="240"/>
              <w:jc w:val="center"/>
              <w:rPr>
                <w:sz w:val="12"/>
                <w:szCs w:val="12"/>
              </w:rPr>
            </w:pPr>
            <w:r w:rsidRPr="00EA74BC">
              <w:rPr>
                <w:b/>
                <w:bCs/>
                <w:sz w:val="12"/>
                <w:szCs w:val="12"/>
              </w:rPr>
              <w:t># TOR GO terms (after)</w:t>
            </w:r>
          </w:p>
        </w:tc>
        <w:tc>
          <w:tcPr>
            <w:tcW w:w="450" w:type="dxa"/>
            <w:tcMar>
              <w:left w:w="29" w:type="dxa"/>
              <w:right w:w="29" w:type="dxa"/>
            </w:tcMar>
          </w:tcPr>
          <w:p w14:paraId="0511B0AA" w14:textId="77777777" w:rsidR="00EA74BC" w:rsidRPr="00EA74BC" w:rsidRDefault="00EA74BC" w:rsidP="00D541E2">
            <w:pPr>
              <w:spacing w:before="240"/>
              <w:jc w:val="center"/>
              <w:rPr>
                <w:sz w:val="12"/>
                <w:szCs w:val="12"/>
              </w:rPr>
            </w:pPr>
            <w:r w:rsidRPr="00EA74BC">
              <w:rPr>
                <w:b/>
                <w:bCs/>
                <w:sz w:val="12"/>
                <w:szCs w:val="12"/>
              </w:rPr>
              <w:t># GO retained</w:t>
            </w:r>
          </w:p>
        </w:tc>
        <w:tc>
          <w:tcPr>
            <w:tcW w:w="720" w:type="dxa"/>
            <w:tcMar>
              <w:left w:w="29" w:type="dxa"/>
              <w:right w:w="29" w:type="dxa"/>
            </w:tcMar>
          </w:tcPr>
          <w:p w14:paraId="12B30A94" w14:textId="77777777" w:rsidR="00EA74BC" w:rsidRPr="00EA74BC" w:rsidRDefault="00EA74BC" w:rsidP="00D541E2">
            <w:pPr>
              <w:spacing w:before="240"/>
              <w:jc w:val="center"/>
              <w:rPr>
                <w:sz w:val="12"/>
                <w:szCs w:val="12"/>
              </w:rPr>
            </w:pPr>
            <w:r w:rsidRPr="00EA74BC">
              <w:rPr>
                <w:b/>
                <w:bCs/>
                <w:sz w:val="12"/>
                <w:szCs w:val="12"/>
              </w:rPr>
              <w:t>Retention (%)</w:t>
            </w:r>
          </w:p>
        </w:tc>
        <w:tc>
          <w:tcPr>
            <w:tcW w:w="540" w:type="dxa"/>
            <w:tcMar>
              <w:left w:w="29" w:type="dxa"/>
              <w:right w:w="29" w:type="dxa"/>
            </w:tcMar>
          </w:tcPr>
          <w:p w14:paraId="79A998AB" w14:textId="77777777" w:rsidR="00EA74BC" w:rsidRPr="00EA74BC" w:rsidRDefault="00EA74BC" w:rsidP="00D541E2">
            <w:pPr>
              <w:spacing w:before="240"/>
              <w:jc w:val="center"/>
              <w:rPr>
                <w:sz w:val="12"/>
                <w:szCs w:val="12"/>
              </w:rPr>
            </w:pPr>
            <w:r w:rsidRPr="00EA74BC">
              <w:rPr>
                <w:b/>
                <w:bCs/>
                <w:sz w:val="12"/>
                <w:szCs w:val="12"/>
              </w:rPr>
              <w:t>Null trails (n)</w:t>
            </w:r>
          </w:p>
        </w:tc>
        <w:tc>
          <w:tcPr>
            <w:tcW w:w="720" w:type="dxa"/>
            <w:tcMar>
              <w:left w:w="29" w:type="dxa"/>
              <w:right w:w="29" w:type="dxa"/>
            </w:tcMar>
          </w:tcPr>
          <w:p w14:paraId="7A52CE34" w14:textId="77777777" w:rsidR="00EA74BC" w:rsidRPr="00EA74BC" w:rsidRDefault="00EA74BC" w:rsidP="00D541E2">
            <w:pPr>
              <w:spacing w:before="240"/>
              <w:jc w:val="center"/>
              <w:rPr>
                <w:b/>
                <w:bCs/>
                <w:sz w:val="12"/>
                <w:szCs w:val="12"/>
              </w:rPr>
            </w:pPr>
            <w:r w:rsidRPr="00EA74BC">
              <w:rPr>
                <w:b/>
                <w:bCs/>
                <w:sz w:val="12"/>
                <w:szCs w:val="12"/>
              </w:rPr>
              <w:t>Cluster size of each Trails</w:t>
            </w:r>
          </w:p>
        </w:tc>
        <w:tc>
          <w:tcPr>
            <w:tcW w:w="630" w:type="dxa"/>
            <w:tcMar>
              <w:left w:w="29" w:type="dxa"/>
              <w:right w:w="29" w:type="dxa"/>
            </w:tcMar>
          </w:tcPr>
          <w:p w14:paraId="55BDAB48" w14:textId="77777777" w:rsidR="00EA74BC" w:rsidRPr="00EA74BC" w:rsidRDefault="00EA74BC" w:rsidP="00D541E2">
            <w:pPr>
              <w:spacing w:before="240"/>
              <w:jc w:val="center"/>
              <w:rPr>
                <w:sz w:val="12"/>
                <w:szCs w:val="12"/>
              </w:rPr>
            </w:pPr>
            <w:r w:rsidRPr="00EA74BC">
              <w:rPr>
                <w:b/>
                <w:bCs/>
                <w:sz w:val="12"/>
                <w:szCs w:val="12"/>
              </w:rPr>
              <w:t>Null mean: # GO terms</w:t>
            </w:r>
          </w:p>
        </w:tc>
        <w:tc>
          <w:tcPr>
            <w:tcW w:w="540" w:type="dxa"/>
            <w:tcMar>
              <w:left w:w="29" w:type="dxa"/>
              <w:right w:w="29" w:type="dxa"/>
            </w:tcMar>
          </w:tcPr>
          <w:p w14:paraId="6860D5E0" w14:textId="77777777" w:rsidR="00EA74BC" w:rsidRPr="00EA74BC" w:rsidRDefault="00EA74BC" w:rsidP="00D541E2">
            <w:pPr>
              <w:spacing w:before="240"/>
              <w:jc w:val="center"/>
              <w:rPr>
                <w:sz w:val="12"/>
                <w:szCs w:val="12"/>
              </w:rPr>
            </w:pPr>
            <w:r w:rsidRPr="00EA74BC">
              <w:rPr>
                <w:b/>
                <w:bCs/>
                <w:sz w:val="12"/>
                <w:szCs w:val="12"/>
              </w:rPr>
              <w:t>Null # of Max GO terms</w:t>
            </w:r>
          </w:p>
        </w:tc>
        <w:tc>
          <w:tcPr>
            <w:tcW w:w="540" w:type="dxa"/>
            <w:tcMar>
              <w:left w:w="29" w:type="dxa"/>
              <w:right w:w="29" w:type="dxa"/>
            </w:tcMar>
          </w:tcPr>
          <w:p w14:paraId="65F9E1B7" w14:textId="77777777" w:rsidR="00EA74BC" w:rsidRPr="00EA74BC" w:rsidRDefault="00EA74BC" w:rsidP="00D541E2">
            <w:pPr>
              <w:spacing w:before="240"/>
              <w:jc w:val="center"/>
              <w:rPr>
                <w:sz w:val="12"/>
                <w:szCs w:val="12"/>
              </w:rPr>
            </w:pPr>
            <w:r w:rsidRPr="00EA74BC">
              <w:rPr>
                <w:b/>
                <w:bCs/>
                <w:sz w:val="12"/>
                <w:szCs w:val="12"/>
              </w:rPr>
              <w:t>Empirical p-value</w:t>
            </w:r>
          </w:p>
        </w:tc>
        <w:tc>
          <w:tcPr>
            <w:tcW w:w="540" w:type="dxa"/>
            <w:tcMar>
              <w:left w:w="29" w:type="dxa"/>
              <w:right w:w="29" w:type="dxa"/>
            </w:tcMar>
          </w:tcPr>
          <w:p w14:paraId="3E552689" w14:textId="77777777" w:rsidR="00EA74BC" w:rsidRPr="00EA74BC" w:rsidRDefault="00EA74BC" w:rsidP="00D541E2">
            <w:pPr>
              <w:spacing w:before="240"/>
              <w:jc w:val="center"/>
              <w:rPr>
                <w:sz w:val="12"/>
                <w:szCs w:val="12"/>
              </w:rPr>
            </w:pPr>
            <w:r w:rsidRPr="00EA74BC">
              <w:rPr>
                <w:b/>
                <w:bCs/>
                <w:sz w:val="12"/>
                <w:szCs w:val="12"/>
              </w:rPr>
              <w:t>Null mean: TOR GO terms</w:t>
            </w:r>
          </w:p>
        </w:tc>
        <w:tc>
          <w:tcPr>
            <w:tcW w:w="540" w:type="dxa"/>
            <w:tcMar>
              <w:left w:w="29" w:type="dxa"/>
              <w:right w:w="29" w:type="dxa"/>
            </w:tcMar>
          </w:tcPr>
          <w:p w14:paraId="63B435AD" w14:textId="77777777" w:rsidR="00EA74BC" w:rsidRPr="00EA74BC" w:rsidRDefault="00EA74BC" w:rsidP="00D541E2">
            <w:pPr>
              <w:spacing w:before="240"/>
              <w:jc w:val="center"/>
              <w:rPr>
                <w:sz w:val="12"/>
                <w:szCs w:val="12"/>
              </w:rPr>
            </w:pPr>
            <w:r w:rsidRPr="00EA74BC">
              <w:rPr>
                <w:b/>
                <w:bCs/>
                <w:sz w:val="12"/>
                <w:szCs w:val="12"/>
              </w:rPr>
              <w:t>Null # of Max TOR GO terms</w:t>
            </w:r>
          </w:p>
        </w:tc>
        <w:tc>
          <w:tcPr>
            <w:tcW w:w="720" w:type="dxa"/>
            <w:tcMar>
              <w:left w:w="29" w:type="dxa"/>
              <w:right w:w="29" w:type="dxa"/>
            </w:tcMar>
          </w:tcPr>
          <w:p w14:paraId="137C1ADF" w14:textId="77777777" w:rsidR="00EA74BC" w:rsidRPr="00EA74BC" w:rsidRDefault="00EA74BC" w:rsidP="00D541E2">
            <w:pPr>
              <w:spacing w:before="240"/>
              <w:jc w:val="center"/>
              <w:rPr>
                <w:b/>
                <w:bCs/>
                <w:sz w:val="12"/>
                <w:szCs w:val="12"/>
              </w:rPr>
            </w:pPr>
            <w:r w:rsidRPr="00EA74BC">
              <w:rPr>
                <w:b/>
                <w:bCs/>
                <w:sz w:val="12"/>
                <w:szCs w:val="12"/>
              </w:rPr>
              <w:t>Empirical TOR p-value</w:t>
            </w:r>
          </w:p>
        </w:tc>
      </w:tr>
      <w:tr w:rsidR="00EA74BC" w:rsidRPr="00EA74BC" w14:paraId="3DEA5A04" w14:textId="77777777">
        <w:trPr>
          <w:jc w:val="center"/>
        </w:trPr>
        <w:tc>
          <w:tcPr>
            <w:tcW w:w="805" w:type="dxa"/>
            <w:tcMar>
              <w:left w:w="29" w:type="dxa"/>
              <w:right w:w="29" w:type="dxa"/>
            </w:tcMar>
          </w:tcPr>
          <w:p w14:paraId="269D6A13" w14:textId="77777777" w:rsidR="00EA74BC" w:rsidRPr="00EA74BC" w:rsidRDefault="00EA74BC" w:rsidP="00D541E2">
            <w:pPr>
              <w:spacing w:before="240"/>
              <w:jc w:val="center"/>
              <w:rPr>
                <w:sz w:val="12"/>
                <w:szCs w:val="12"/>
              </w:rPr>
            </w:pPr>
            <w:proofErr w:type="spellStart"/>
            <w:r w:rsidRPr="00EA74BC">
              <w:rPr>
                <w:sz w:val="12"/>
                <w:szCs w:val="12"/>
              </w:rPr>
              <w:t>SignalPath</w:t>
            </w:r>
            <w:proofErr w:type="spellEnd"/>
            <w:r w:rsidRPr="00EA74BC">
              <w:rPr>
                <w:sz w:val="12"/>
                <w:szCs w:val="12"/>
              </w:rPr>
              <w:t>-Finder</w:t>
            </w:r>
          </w:p>
        </w:tc>
        <w:tc>
          <w:tcPr>
            <w:tcW w:w="450" w:type="dxa"/>
            <w:tcMar>
              <w:left w:w="29" w:type="dxa"/>
              <w:right w:w="29" w:type="dxa"/>
            </w:tcMar>
          </w:tcPr>
          <w:p w14:paraId="7FFB15F1" w14:textId="77777777" w:rsidR="00EA74BC" w:rsidRPr="00EA74BC" w:rsidRDefault="00EA74BC" w:rsidP="00D541E2">
            <w:pPr>
              <w:spacing w:before="240"/>
              <w:jc w:val="center"/>
              <w:rPr>
                <w:sz w:val="12"/>
                <w:szCs w:val="12"/>
              </w:rPr>
            </w:pPr>
            <w:r w:rsidRPr="00EA74BC">
              <w:rPr>
                <w:sz w:val="12"/>
                <w:szCs w:val="12"/>
              </w:rPr>
              <w:t>6</w:t>
            </w:r>
          </w:p>
        </w:tc>
        <w:tc>
          <w:tcPr>
            <w:tcW w:w="540" w:type="dxa"/>
            <w:tcMar>
              <w:left w:w="29" w:type="dxa"/>
              <w:right w:w="29" w:type="dxa"/>
            </w:tcMar>
          </w:tcPr>
          <w:p w14:paraId="5E85C3D9" w14:textId="77777777" w:rsidR="00EA74BC" w:rsidRPr="00EA74BC" w:rsidRDefault="00EA74BC" w:rsidP="00D541E2">
            <w:pPr>
              <w:spacing w:before="240"/>
              <w:jc w:val="center"/>
              <w:rPr>
                <w:sz w:val="12"/>
                <w:szCs w:val="12"/>
              </w:rPr>
            </w:pPr>
            <w:r w:rsidRPr="00EA74BC">
              <w:rPr>
                <w:sz w:val="12"/>
                <w:szCs w:val="12"/>
              </w:rPr>
              <w:t>806</w:t>
            </w:r>
          </w:p>
        </w:tc>
        <w:tc>
          <w:tcPr>
            <w:tcW w:w="630" w:type="dxa"/>
            <w:tcMar>
              <w:left w:w="29" w:type="dxa"/>
              <w:right w:w="29" w:type="dxa"/>
            </w:tcMar>
          </w:tcPr>
          <w:p w14:paraId="4CB73B11" w14:textId="77777777" w:rsidR="00EA74BC" w:rsidRPr="00EA74BC" w:rsidRDefault="00EA74BC" w:rsidP="00D541E2">
            <w:pPr>
              <w:spacing w:before="240"/>
              <w:jc w:val="center"/>
              <w:rPr>
                <w:sz w:val="12"/>
                <w:szCs w:val="12"/>
              </w:rPr>
            </w:pPr>
            <w:r w:rsidRPr="00EA74BC">
              <w:rPr>
                <w:sz w:val="12"/>
                <w:szCs w:val="12"/>
              </w:rPr>
              <w:t>798</w:t>
            </w:r>
          </w:p>
        </w:tc>
        <w:tc>
          <w:tcPr>
            <w:tcW w:w="630" w:type="dxa"/>
            <w:tcMar>
              <w:left w:w="29" w:type="dxa"/>
              <w:right w:w="29" w:type="dxa"/>
            </w:tcMar>
          </w:tcPr>
          <w:p w14:paraId="2C61CFD9" w14:textId="77777777" w:rsidR="00EA74BC" w:rsidRPr="00EA74BC" w:rsidRDefault="00EA74BC" w:rsidP="00D541E2">
            <w:pPr>
              <w:spacing w:before="240"/>
              <w:jc w:val="center"/>
              <w:rPr>
                <w:sz w:val="12"/>
                <w:szCs w:val="12"/>
              </w:rPr>
            </w:pPr>
            <w:r w:rsidRPr="00EA74BC">
              <w:rPr>
                <w:sz w:val="12"/>
                <w:szCs w:val="12"/>
              </w:rPr>
              <w:t>122</w:t>
            </w:r>
          </w:p>
        </w:tc>
        <w:tc>
          <w:tcPr>
            <w:tcW w:w="630" w:type="dxa"/>
            <w:tcMar>
              <w:left w:w="29" w:type="dxa"/>
              <w:right w:w="29" w:type="dxa"/>
            </w:tcMar>
          </w:tcPr>
          <w:p w14:paraId="3F6F750C" w14:textId="77777777" w:rsidR="00EA74BC" w:rsidRPr="00EA74BC" w:rsidRDefault="00EA74BC" w:rsidP="00D541E2">
            <w:pPr>
              <w:spacing w:before="240"/>
              <w:jc w:val="center"/>
              <w:rPr>
                <w:sz w:val="12"/>
                <w:szCs w:val="12"/>
              </w:rPr>
            </w:pPr>
            <w:r w:rsidRPr="00EA74BC">
              <w:rPr>
                <w:sz w:val="12"/>
                <w:szCs w:val="12"/>
              </w:rPr>
              <w:t>32</w:t>
            </w:r>
          </w:p>
        </w:tc>
        <w:tc>
          <w:tcPr>
            <w:tcW w:w="630" w:type="dxa"/>
            <w:tcMar>
              <w:left w:w="29" w:type="dxa"/>
              <w:right w:w="29" w:type="dxa"/>
            </w:tcMar>
          </w:tcPr>
          <w:p w14:paraId="31EA368F" w14:textId="77777777" w:rsidR="00EA74BC" w:rsidRPr="00EA74BC" w:rsidRDefault="00EA74BC" w:rsidP="00D541E2">
            <w:pPr>
              <w:spacing w:before="240"/>
              <w:jc w:val="center"/>
              <w:rPr>
                <w:sz w:val="12"/>
                <w:szCs w:val="12"/>
              </w:rPr>
            </w:pPr>
            <w:r w:rsidRPr="00EA74BC">
              <w:rPr>
                <w:sz w:val="12"/>
                <w:szCs w:val="12"/>
              </w:rPr>
              <w:t>116</w:t>
            </w:r>
          </w:p>
        </w:tc>
        <w:tc>
          <w:tcPr>
            <w:tcW w:w="630" w:type="dxa"/>
            <w:tcMar>
              <w:left w:w="29" w:type="dxa"/>
              <w:right w:w="29" w:type="dxa"/>
            </w:tcMar>
          </w:tcPr>
          <w:p w14:paraId="013BE6B1" w14:textId="77777777" w:rsidR="00EA74BC" w:rsidRPr="00EA74BC" w:rsidRDefault="00EA74BC" w:rsidP="00D541E2">
            <w:pPr>
              <w:spacing w:before="240"/>
              <w:jc w:val="center"/>
              <w:rPr>
                <w:sz w:val="12"/>
                <w:szCs w:val="12"/>
              </w:rPr>
            </w:pPr>
            <w:r w:rsidRPr="00EA74BC">
              <w:rPr>
                <w:sz w:val="12"/>
                <w:szCs w:val="12"/>
              </w:rPr>
              <w:t>31</w:t>
            </w:r>
          </w:p>
        </w:tc>
        <w:tc>
          <w:tcPr>
            <w:tcW w:w="450" w:type="dxa"/>
            <w:tcMar>
              <w:left w:w="29" w:type="dxa"/>
              <w:right w:w="29" w:type="dxa"/>
            </w:tcMar>
          </w:tcPr>
          <w:p w14:paraId="720DC680" w14:textId="77777777" w:rsidR="00EA74BC" w:rsidRPr="00EA74BC" w:rsidRDefault="00EA74BC" w:rsidP="00D541E2">
            <w:pPr>
              <w:spacing w:before="240"/>
              <w:jc w:val="center"/>
              <w:rPr>
                <w:sz w:val="12"/>
                <w:szCs w:val="12"/>
              </w:rPr>
            </w:pPr>
            <w:r w:rsidRPr="00EA74BC">
              <w:rPr>
                <w:sz w:val="12"/>
                <w:szCs w:val="12"/>
              </w:rPr>
              <w:t>115</w:t>
            </w:r>
          </w:p>
        </w:tc>
        <w:tc>
          <w:tcPr>
            <w:tcW w:w="720" w:type="dxa"/>
            <w:tcMar>
              <w:left w:w="29" w:type="dxa"/>
              <w:right w:w="29" w:type="dxa"/>
            </w:tcMar>
          </w:tcPr>
          <w:p w14:paraId="1585112B" w14:textId="77777777" w:rsidR="00EA74BC" w:rsidRPr="00EA74BC" w:rsidRDefault="00EA74BC" w:rsidP="00D541E2">
            <w:pPr>
              <w:spacing w:before="240"/>
              <w:jc w:val="center"/>
              <w:rPr>
                <w:sz w:val="12"/>
                <w:szCs w:val="12"/>
              </w:rPr>
            </w:pPr>
            <w:r w:rsidRPr="00EA74BC">
              <w:rPr>
                <w:sz w:val="12"/>
                <w:szCs w:val="12"/>
              </w:rPr>
              <w:t>0.94</w:t>
            </w:r>
          </w:p>
        </w:tc>
        <w:tc>
          <w:tcPr>
            <w:tcW w:w="540" w:type="dxa"/>
            <w:tcMar>
              <w:left w:w="29" w:type="dxa"/>
              <w:right w:w="29" w:type="dxa"/>
            </w:tcMar>
          </w:tcPr>
          <w:p w14:paraId="2CF05698" w14:textId="77777777" w:rsidR="00EA74BC" w:rsidRPr="00EA74BC" w:rsidRDefault="00EA74BC" w:rsidP="00D541E2">
            <w:pPr>
              <w:spacing w:before="240"/>
              <w:jc w:val="center"/>
              <w:rPr>
                <w:sz w:val="12"/>
                <w:szCs w:val="12"/>
              </w:rPr>
            </w:pPr>
            <w:r w:rsidRPr="00EA74BC">
              <w:rPr>
                <w:sz w:val="12"/>
                <w:szCs w:val="12"/>
              </w:rPr>
              <w:t>1000</w:t>
            </w:r>
          </w:p>
        </w:tc>
        <w:tc>
          <w:tcPr>
            <w:tcW w:w="720" w:type="dxa"/>
            <w:tcMar>
              <w:left w:w="29" w:type="dxa"/>
              <w:right w:w="29" w:type="dxa"/>
            </w:tcMar>
          </w:tcPr>
          <w:p w14:paraId="1B36D2FF" w14:textId="77777777" w:rsidR="00EA74BC" w:rsidRPr="00EA74BC" w:rsidRDefault="00EA74BC" w:rsidP="00D541E2">
            <w:pPr>
              <w:spacing w:before="240"/>
              <w:jc w:val="center"/>
              <w:rPr>
                <w:sz w:val="12"/>
                <w:szCs w:val="12"/>
              </w:rPr>
            </w:pPr>
            <w:r w:rsidRPr="00EA74BC">
              <w:rPr>
                <w:sz w:val="12"/>
                <w:szCs w:val="12"/>
              </w:rPr>
              <w:t>806</w:t>
            </w:r>
          </w:p>
        </w:tc>
        <w:tc>
          <w:tcPr>
            <w:tcW w:w="630" w:type="dxa"/>
            <w:tcMar>
              <w:left w:w="29" w:type="dxa"/>
              <w:right w:w="29" w:type="dxa"/>
            </w:tcMar>
          </w:tcPr>
          <w:p w14:paraId="214948F2" w14:textId="77777777" w:rsidR="00EA74BC" w:rsidRPr="00EA74BC" w:rsidRDefault="00EA74BC" w:rsidP="00D541E2">
            <w:pPr>
              <w:spacing w:before="240"/>
              <w:jc w:val="center"/>
              <w:rPr>
                <w:sz w:val="12"/>
                <w:szCs w:val="12"/>
              </w:rPr>
            </w:pPr>
            <w:r w:rsidRPr="00EA74BC">
              <w:rPr>
                <w:sz w:val="12"/>
                <w:szCs w:val="12"/>
              </w:rPr>
              <w:t>3.603</w:t>
            </w:r>
          </w:p>
        </w:tc>
        <w:tc>
          <w:tcPr>
            <w:tcW w:w="540" w:type="dxa"/>
            <w:tcMar>
              <w:left w:w="29" w:type="dxa"/>
              <w:right w:w="29" w:type="dxa"/>
            </w:tcMar>
          </w:tcPr>
          <w:p w14:paraId="13802A42" w14:textId="77777777" w:rsidR="00EA74BC" w:rsidRPr="00EA74BC" w:rsidRDefault="00EA74BC" w:rsidP="00D541E2">
            <w:pPr>
              <w:spacing w:before="240"/>
              <w:jc w:val="center"/>
              <w:rPr>
                <w:sz w:val="12"/>
                <w:szCs w:val="12"/>
              </w:rPr>
            </w:pPr>
            <w:r w:rsidRPr="00EA74BC">
              <w:rPr>
                <w:sz w:val="12"/>
                <w:szCs w:val="12"/>
              </w:rPr>
              <w:t>61</w:t>
            </w:r>
          </w:p>
        </w:tc>
        <w:tc>
          <w:tcPr>
            <w:tcW w:w="540" w:type="dxa"/>
            <w:tcMar>
              <w:left w:w="29" w:type="dxa"/>
              <w:right w:w="29" w:type="dxa"/>
            </w:tcMar>
          </w:tcPr>
          <w:p w14:paraId="36E1DE40" w14:textId="77777777" w:rsidR="00EA74BC" w:rsidRPr="00EA74BC" w:rsidRDefault="00EA74BC" w:rsidP="00D541E2">
            <w:pPr>
              <w:spacing w:before="240"/>
              <w:jc w:val="center"/>
              <w:rPr>
                <w:sz w:val="12"/>
                <w:szCs w:val="12"/>
              </w:rPr>
            </w:pPr>
            <w:r w:rsidRPr="00EA74BC">
              <w:rPr>
                <w:sz w:val="12"/>
                <w:szCs w:val="12"/>
              </w:rPr>
              <w:t>0.000999</w:t>
            </w:r>
          </w:p>
        </w:tc>
        <w:tc>
          <w:tcPr>
            <w:tcW w:w="540" w:type="dxa"/>
            <w:tcMar>
              <w:left w:w="29" w:type="dxa"/>
              <w:right w:w="29" w:type="dxa"/>
            </w:tcMar>
          </w:tcPr>
          <w:p w14:paraId="1218008A" w14:textId="77777777" w:rsidR="00EA74BC" w:rsidRPr="00EA74BC" w:rsidRDefault="00EA74BC" w:rsidP="00D541E2">
            <w:pPr>
              <w:spacing w:before="240"/>
              <w:jc w:val="center"/>
              <w:rPr>
                <w:sz w:val="12"/>
                <w:szCs w:val="12"/>
              </w:rPr>
            </w:pPr>
            <w:r w:rsidRPr="00EA74BC">
              <w:rPr>
                <w:sz w:val="12"/>
                <w:szCs w:val="12"/>
              </w:rPr>
              <w:t>0.736</w:t>
            </w:r>
          </w:p>
        </w:tc>
        <w:tc>
          <w:tcPr>
            <w:tcW w:w="540" w:type="dxa"/>
            <w:tcMar>
              <w:left w:w="29" w:type="dxa"/>
              <w:right w:w="29" w:type="dxa"/>
            </w:tcMar>
          </w:tcPr>
          <w:p w14:paraId="3DD965F4" w14:textId="77777777" w:rsidR="00EA74BC" w:rsidRPr="00EA74BC" w:rsidRDefault="00EA74BC" w:rsidP="00D541E2">
            <w:pPr>
              <w:spacing w:before="240"/>
              <w:jc w:val="center"/>
              <w:rPr>
                <w:sz w:val="12"/>
                <w:szCs w:val="12"/>
              </w:rPr>
            </w:pPr>
            <w:r w:rsidRPr="00EA74BC">
              <w:rPr>
                <w:sz w:val="12"/>
                <w:szCs w:val="12"/>
              </w:rPr>
              <w:t>19</w:t>
            </w:r>
          </w:p>
        </w:tc>
        <w:tc>
          <w:tcPr>
            <w:tcW w:w="720" w:type="dxa"/>
            <w:tcMar>
              <w:left w:w="29" w:type="dxa"/>
              <w:right w:w="29" w:type="dxa"/>
            </w:tcMar>
          </w:tcPr>
          <w:p w14:paraId="582927D7" w14:textId="77777777" w:rsidR="00EA74BC" w:rsidRPr="00EA74BC" w:rsidRDefault="00EA74BC" w:rsidP="00D541E2">
            <w:pPr>
              <w:spacing w:before="240"/>
              <w:jc w:val="center"/>
              <w:rPr>
                <w:sz w:val="12"/>
                <w:szCs w:val="12"/>
              </w:rPr>
            </w:pPr>
            <w:r w:rsidRPr="00EA74BC">
              <w:rPr>
                <w:sz w:val="12"/>
                <w:szCs w:val="12"/>
              </w:rPr>
              <w:t>0.000999</w:t>
            </w:r>
          </w:p>
        </w:tc>
      </w:tr>
      <w:tr w:rsidR="00EA74BC" w:rsidRPr="00EA74BC" w14:paraId="2855D085" w14:textId="77777777">
        <w:trPr>
          <w:jc w:val="center"/>
        </w:trPr>
        <w:tc>
          <w:tcPr>
            <w:tcW w:w="805" w:type="dxa"/>
            <w:tcMar>
              <w:left w:w="29" w:type="dxa"/>
              <w:right w:w="29" w:type="dxa"/>
            </w:tcMar>
          </w:tcPr>
          <w:p w14:paraId="628C2F68" w14:textId="77777777" w:rsidR="00EA74BC" w:rsidRPr="00EA74BC" w:rsidRDefault="00EA74BC" w:rsidP="00D541E2">
            <w:pPr>
              <w:spacing w:before="240"/>
              <w:jc w:val="center"/>
              <w:rPr>
                <w:sz w:val="12"/>
                <w:szCs w:val="12"/>
              </w:rPr>
            </w:pPr>
            <w:proofErr w:type="spellStart"/>
            <w:r w:rsidRPr="00EA74BC">
              <w:rPr>
                <w:sz w:val="12"/>
                <w:szCs w:val="12"/>
              </w:rPr>
              <w:t>SignalPath</w:t>
            </w:r>
            <w:proofErr w:type="spellEnd"/>
            <w:r w:rsidRPr="00EA74BC">
              <w:rPr>
                <w:sz w:val="12"/>
                <w:szCs w:val="12"/>
              </w:rPr>
              <w:t>-Finder</w:t>
            </w:r>
          </w:p>
        </w:tc>
        <w:tc>
          <w:tcPr>
            <w:tcW w:w="450" w:type="dxa"/>
            <w:tcMar>
              <w:left w:w="29" w:type="dxa"/>
              <w:right w:w="29" w:type="dxa"/>
            </w:tcMar>
          </w:tcPr>
          <w:p w14:paraId="37038E76" w14:textId="77777777" w:rsidR="00EA74BC" w:rsidRPr="00EA74BC" w:rsidRDefault="00EA74BC" w:rsidP="00D541E2">
            <w:pPr>
              <w:spacing w:before="240"/>
              <w:jc w:val="center"/>
              <w:rPr>
                <w:sz w:val="12"/>
                <w:szCs w:val="12"/>
              </w:rPr>
            </w:pPr>
            <w:r w:rsidRPr="00EA74BC">
              <w:rPr>
                <w:sz w:val="12"/>
                <w:szCs w:val="12"/>
              </w:rPr>
              <w:t>7</w:t>
            </w:r>
          </w:p>
        </w:tc>
        <w:tc>
          <w:tcPr>
            <w:tcW w:w="540" w:type="dxa"/>
            <w:tcMar>
              <w:left w:w="29" w:type="dxa"/>
              <w:right w:w="29" w:type="dxa"/>
            </w:tcMar>
          </w:tcPr>
          <w:p w14:paraId="1E7D0B01" w14:textId="77777777" w:rsidR="00EA74BC" w:rsidRPr="00EA74BC" w:rsidRDefault="00EA74BC" w:rsidP="00D541E2">
            <w:pPr>
              <w:spacing w:before="240"/>
              <w:jc w:val="center"/>
              <w:rPr>
                <w:sz w:val="12"/>
                <w:szCs w:val="12"/>
              </w:rPr>
            </w:pPr>
            <w:r w:rsidRPr="00EA74BC">
              <w:rPr>
                <w:sz w:val="12"/>
                <w:szCs w:val="12"/>
              </w:rPr>
              <w:t>1177</w:t>
            </w:r>
          </w:p>
        </w:tc>
        <w:tc>
          <w:tcPr>
            <w:tcW w:w="630" w:type="dxa"/>
            <w:tcMar>
              <w:left w:w="29" w:type="dxa"/>
              <w:right w:w="29" w:type="dxa"/>
            </w:tcMar>
          </w:tcPr>
          <w:p w14:paraId="3E1BD970" w14:textId="77777777" w:rsidR="00EA74BC" w:rsidRPr="00EA74BC" w:rsidRDefault="00EA74BC" w:rsidP="00D541E2">
            <w:pPr>
              <w:spacing w:before="240"/>
              <w:jc w:val="center"/>
              <w:rPr>
                <w:sz w:val="12"/>
                <w:szCs w:val="12"/>
              </w:rPr>
            </w:pPr>
            <w:r w:rsidRPr="00EA74BC">
              <w:rPr>
                <w:sz w:val="12"/>
                <w:szCs w:val="12"/>
              </w:rPr>
              <w:t>1165</w:t>
            </w:r>
          </w:p>
        </w:tc>
        <w:tc>
          <w:tcPr>
            <w:tcW w:w="630" w:type="dxa"/>
            <w:tcMar>
              <w:left w:w="29" w:type="dxa"/>
              <w:right w:w="29" w:type="dxa"/>
            </w:tcMar>
          </w:tcPr>
          <w:p w14:paraId="4D7180BE" w14:textId="77777777" w:rsidR="00EA74BC" w:rsidRPr="00EA74BC" w:rsidRDefault="00EA74BC" w:rsidP="00D541E2">
            <w:pPr>
              <w:spacing w:before="240"/>
              <w:jc w:val="center"/>
              <w:rPr>
                <w:sz w:val="12"/>
                <w:szCs w:val="12"/>
              </w:rPr>
            </w:pPr>
            <w:r w:rsidRPr="00EA74BC">
              <w:rPr>
                <w:sz w:val="12"/>
                <w:szCs w:val="12"/>
              </w:rPr>
              <w:t>213</w:t>
            </w:r>
          </w:p>
        </w:tc>
        <w:tc>
          <w:tcPr>
            <w:tcW w:w="630" w:type="dxa"/>
            <w:tcMar>
              <w:left w:w="29" w:type="dxa"/>
              <w:right w:w="29" w:type="dxa"/>
            </w:tcMar>
          </w:tcPr>
          <w:p w14:paraId="1664D7D0" w14:textId="77777777" w:rsidR="00EA74BC" w:rsidRPr="00EA74BC" w:rsidRDefault="00EA74BC" w:rsidP="00D541E2">
            <w:pPr>
              <w:spacing w:before="240"/>
              <w:jc w:val="center"/>
              <w:rPr>
                <w:sz w:val="12"/>
                <w:szCs w:val="12"/>
              </w:rPr>
            </w:pPr>
            <w:r w:rsidRPr="00EA74BC">
              <w:rPr>
                <w:sz w:val="12"/>
                <w:szCs w:val="12"/>
              </w:rPr>
              <w:t>49</w:t>
            </w:r>
          </w:p>
        </w:tc>
        <w:tc>
          <w:tcPr>
            <w:tcW w:w="630" w:type="dxa"/>
            <w:tcMar>
              <w:left w:w="29" w:type="dxa"/>
              <w:right w:w="29" w:type="dxa"/>
            </w:tcMar>
          </w:tcPr>
          <w:p w14:paraId="35B7F16C" w14:textId="77777777" w:rsidR="00EA74BC" w:rsidRPr="00EA74BC" w:rsidRDefault="00EA74BC" w:rsidP="00D541E2">
            <w:pPr>
              <w:spacing w:before="240"/>
              <w:jc w:val="center"/>
              <w:rPr>
                <w:sz w:val="12"/>
                <w:szCs w:val="12"/>
              </w:rPr>
            </w:pPr>
            <w:r w:rsidRPr="00EA74BC">
              <w:rPr>
                <w:sz w:val="12"/>
                <w:szCs w:val="12"/>
              </w:rPr>
              <w:t>196</w:t>
            </w:r>
          </w:p>
        </w:tc>
        <w:tc>
          <w:tcPr>
            <w:tcW w:w="630" w:type="dxa"/>
            <w:tcMar>
              <w:left w:w="29" w:type="dxa"/>
              <w:right w:w="29" w:type="dxa"/>
            </w:tcMar>
          </w:tcPr>
          <w:p w14:paraId="6CB5922D" w14:textId="77777777" w:rsidR="00EA74BC" w:rsidRPr="00EA74BC" w:rsidRDefault="00EA74BC" w:rsidP="00D541E2">
            <w:pPr>
              <w:spacing w:before="240"/>
              <w:jc w:val="center"/>
              <w:rPr>
                <w:sz w:val="12"/>
                <w:szCs w:val="12"/>
              </w:rPr>
            </w:pPr>
            <w:r w:rsidRPr="00EA74BC">
              <w:rPr>
                <w:sz w:val="12"/>
                <w:szCs w:val="12"/>
              </w:rPr>
              <w:t>46</w:t>
            </w:r>
          </w:p>
        </w:tc>
        <w:tc>
          <w:tcPr>
            <w:tcW w:w="450" w:type="dxa"/>
            <w:tcMar>
              <w:left w:w="29" w:type="dxa"/>
              <w:right w:w="29" w:type="dxa"/>
            </w:tcMar>
          </w:tcPr>
          <w:p w14:paraId="0CB5AF4D" w14:textId="77777777" w:rsidR="00EA74BC" w:rsidRPr="00EA74BC" w:rsidRDefault="00EA74BC" w:rsidP="00D541E2">
            <w:pPr>
              <w:spacing w:before="240"/>
              <w:jc w:val="center"/>
              <w:rPr>
                <w:sz w:val="12"/>
                <w:szCs w:val="12"/>
              </w:rPr>
            </w:pPr>
            <w:r w:rsidRPr="00EA74BC">
              <w:rPr>
                <w:sz w:val="12"/>
                <w:szCs w:val="12"/>
              </w:rPr>
              <w:t>194</w:t>
            </w:r>
          </w:p>
        </w:tc>
        <w:tc>
          <w:tcPr>
            <w:tcW w:w="720" w:type="dxa"/>
            <w:tcMar>
              <w:left w:w="29" w:type="dxa"/>
              <w:right w:w="29" w:type="dxa"/>
            </w:tcMar>
          </w:tcPr>
          <w:p w14:paraId="3112E6A1" w14:textId="77777777" w:rsidR="00EA74BC" w:rsidRPr="00EA74BC" w:rsidRDefault="00EA74BC" w:rsidP="00D541E2">
            <w:pPr>
              <w:spacing w:before="240"/>
              <w:jc w:val="center"/>
              <w:rPr>
                <w:sz w:val="12"/>
                <w:szCs w:val="12"/>
              </w:rPr>
            </w:pPr>
            <w:r w:rsidRPr="00EA74BC">
              <w:rPr>
                <w:sz w:val="12"/>
                <w:szCs w:val="12"/>
              </w:rPr>
              <w:t>0.91</w:t>
            </w:r>
          </w:p>
        </w:tc>
        <w:tc>
          <w:tcPr>
            <w:tcW w:w="540" w:type="dxa"/>
            <w:tcMar>
              <w:left w:w="29" w:type="dxa"/>
              <w:right w:w="29" w:type="dxa"/>
            </w:tcMar>
          </w:tcPr>
          <w:p w14:paraId="3D26772B" w14:textId="77777777" w:rsidR="00EA74BC" w:rsidRPr="00EA74BC" w:rsidRDefault="00EA74BC" w:rsidP="00D541E2">
            <w:pPr>
              <w:spacing w:before="240"/>
              <w:jc w:val="center"/>
              <w:rPr>
                <w:sz w:val="12"/>
                <w:szCs w:val="12"/>
              </w:rPr>
            </w:pPr>
            <w:r w:rsidRPr="00EA74BC">
              <w:rPr>
                <w:sz w:val="12"/>
                <w:szCs w:val="12"/>
              </w:rPr>
              <w:t>1000</w:t>
            </w:r>
          </w:p>
        </w:tc>
        <w:tc>
          <w:tcPr>
            <w:tcW w:w="720" w:type="dxa"/>
            <w:tcMar>
              <w:left w:w="29" w:type="dxa"/>
              <w:right w:w="29" w:type="dxa"/>
            </w:tcMar>
          </w:tcPr>
          <w:p w14:paraId="07B68DCF" w14:textId="77777777" w:rsidR="00EA74BC" w:rsidRPr="00EA74BC" w:rsidRDefault="00EA74BC" w:rsidP="00D541E2">
            <w:pPr>
              <w:spacing w:before="240"/>
              <w:jc w:val="center"/>
              <w:rPr>
                <w:sz w:val="12"/>
                <w:szCs w:val="12"/>
              </w:rPr>
            </w:pPr>
            <w:r w:rsidRPr="00EA74BC">
              <w:rPr>
                <w:sz w:val="12"/>
                <w:szCs w:val="12"/>
              </w:rPr>
              <w:t>1177</w:t>
            </w:r>
          </w:p>
        </w:tc>
        <w:tc>
          <w:tcPr>
            <w:tcW w:w="630" w:type="dxa"/>
            <w:tcMar>
              <w:left w:w="29" w:type="dxa"/>
              <w:right w:w="29" w:type="dxa"/>
            </w:tcMar>
          </w:tcPr>
          <w:p w14:paraId="016AE1DF" w14:textId="77777777" w:rsidR="00EA74BC" w:rsidRPr="00EA74BC" w:rsidRDefault="00EA74BC" w:rsidP="00D541E2">
            <w:pPr>
              <w:spacing w:before="240"/>
              <w:jc w:val="center"/>
              <w:rPr>
                <w:sz w:val="12"/>
                <w:szCs w:val="12"/>
              </w:rPr>
            </w:pPr>
            <w:r w:rsidRPr="00EA74BC">
              <w:rPr>
                <w:sz w:val="12"/>
                <w:szCs w:val="12"/>
              </w:rPr>
              <w:t>7.037</w:t>
            </w:r>
          </w:p>
        </w:tc>
        <w:tc>
          <w:tcPr>
            <w:tcW w:w="540" w:type="dxa"/>
            <w:tcMar>
              <w:left w:w="29" w:type="dxa"/>
              <w:right w:w="29" w:type="dxa"/>
            </w:tcMar>
          </w:tcPr>
          <w:p w14:paraId="7C67C6CE" w14:textId="77777777" w:rsidR="00EA74BC" w:rsidRPr="00EA74BC" w:rsidRDefault="00EA74BC" w:rsidP="00D541E2">
            <w:pPr>
              <w:spacing w:before="240"/>
              <w:jc w:val="center"/>
              <w:rPr>
                <w:sz w:val="12"/>
                <w:szCs w:val="12"/>
              </w:rPr>
            </w:pPr>
            <w:r w:rsidRPr="00EA74BC">
              <w:rPr>
                <w:sz w:val="12"/>
                <w:szCs w:val="12"/>
              </w:rPr>
              <w:t>63</w:t>
            </w:r>
          </w:p>
        </w:tc>
        <w:tc>
          <w:tcPr>
            <w:tcW w:w="540" w:type="dxa"/>
            <w:tcMar>
              <w:left w:w="29" w:type="dxa"/>
              <w:right w:w="29" w:type="dxa"/>
            </w:tcMar>
          </w:tcPr>
          <w:p w14:paraId="3442BFC7" w14:textId="77777777" w:rsidR="00EA74BC" w:rsidRPr="00EA74BC" w:rsidRDefault="00EA74BC" w:rsidP="00D541E2">
            <w:pPr>
              <w:spacing w:before="240"/>
              <w:jc w:val="center"/>
              <w:rPr>
                <w:sz w:val="12"/>
                <w:szCs w:val="12"/>
              </w:rPr>
            </w:pPr>
            <w:r w:rsidRPr="00EA74BC">
              <w:rPr>
                <w:sz w:val="12"/>
                <w:szCs w:val="12"/>
              </w:rPr>
              <w:t>0.000999</w:t>
            </w:r>
          </w:p>
        </w:tc>
        <w:tc>
          <w:tcPr>
            <w:tcW w:w="540" w:type="dxa"/>
            <w:tcMar>
              <w:left w:w="29" w:type="dxa"/>
              <w:right w:w="29" w:type="dxa"/>
            </w:tcMar>
          </w:tcPr>
          <w:p w14:paraId="7FC40CBB" w14:textId="77777777" w:rsidR="00EA74BC" w:rsidRPr="00EA74BC" w:rsidRDefault="00EA74BC" w:rsidP="00D541E2">
            <w:pPr>
              <w:spacing w:before="240"/>
              <w:jc w:val="center"/>
              <w:rPr>
                <w:sz w:val="12"/>
                <w:szCs w:val="12"/>
              </w:rPr>
            </w:pPr>
            <w:r w:rsidRPr="00EA74BC">
              <w:rPr>
                <w:sz w:val="12"/>
                <w:szCs w:val="12"/>
              </w:rPr>
              <w:t>1.422</w:t>
            </w:r>
          </w:p>
        </w:tc>
        <w:tc>
          <w:tcPr>
            <w:tcW w:w="540" w:type="dxa"/>
            <w:tcMar>
              <w:left w:w="29" w:type="dxa"/>
              <w:right w:w="29" w:type="dxa"/>
            </w:tcMar>
          </w:tcPr>
          <w:p w14:paraId="1F29612A" w14:textId="77777777" w:rsidR="00EA74BC" w:rsidRPr="00EA74BC" w:rsidRDefault="00EA74BC" w:rsidP="00D541E2">
            <w:pPr>
              <w:spacing w:before="240"/>
              <w:jc w:val="center"/>
              <w:rPr>
                <w:sz w:val="12"/>
                <w:szCs w:val="12"/>
              </w:rPr>
            </w:pPr>
            <w:r w:rsidRPr="00EA74BC">
              <w:rPr>
                <w:sz w:val="12"/>
                <w:szCs w:val="12"/>
              </w:rPr>
              <w:t>17</w:t>
            </w:r>
          </w:p>
        </w:tc>
        <w:tc>
          <w:tcPr>
            <w:tcW w:w="720" w:type="dxa"/>
            <w:tcMar>
              <w:left w:w="29" w:type="dxa"/>
              <w:right w:w="29" w:type="dxa"/>
            </w:tcMar>
          </w:tcPr>
          <w:p w14:paraId="11814C39" w14:textId="77777777" w:rsidR="00EA74BC" w:rsidRPr="00EA74BC" w:rsidRDefault="00EA74BC" w:rsidP="00D541E2">
            <w:pPr>
              <w:spacing w:before="240"/>
              <w:jc w:val="center"/>
              <w:rPr>
                <w:sz w:val="12"/>
                <w:szCs w:val="12"/>
              </w:rPr>
            </w:pPr>
            <w:r w:rsidRPr="00EA74BC">
              <w:rPr>
                <w:sz w:val="12"/>
                <w:szCs w:val="12"/>
              </w:rPr>
              <w:t>0.000999</w:t>
            </w:r>
          </w:p>
        </w:tc>
      </w:tr>
      <w:tr w:rsidR="00EA74BC" w:rsidRPr="00EA74BC" w14:paraId="59F4A13F" w14:textId="77777777">
        <w:trPr>
          <w:jc w:val="center"/>
        </w:trPr>
        <w:tc>
          <w:tcPr>
            <w:tcW w:w="805" w:type="dxa"/>
            <w:tcMar>
              <w:left w:w="29" w:type="dxa"/>
              <w:right w:w="29" w:type="dxa"/>
            </w:tcMar>
          </w:tcPr>
          <w:p w14:paraId="7F2D3F6D" w14:textId="77777777" w:rsidR="00EA74BC" w:rsidRPr="00EA74BC" w:rsidRDefault="00EA74BC" w:rsidP="00D541E2">
            <w:pPr>
              <w:spacing w:before="240"/>
              <w:jc w:val="center"/>
              <w:rPr>
                <w:sz w:val="12"/>
                <w:szCs w:val="12"/>
              </w:rPr>
            </w:pPr>
            <w:proofErr w:type="spellStart"/>
            <w:r w:rsidRPr="00EA74BC">
              <w:rPr>
                <w:sz w:val="12"/>
                <w:szCs w:val="12"/>
              </w:rPr>
              <w:t>SignalPath</w:t>
            </w:r>
            <w:proofErr w:type="spellEnd"/>
            <w:r w:rsidRPr="00EA74BC">
              <w:rPr>
                <w:sz w:val="12"/>
                <w:szCs w:val="12"/>
              </w:rPr>
              <w:t>-Finder</w:t>
            </w:r>
          </w:p>
        </w:tc>
        <w:tc>
          <w:tcPr>
            <w:tcW w:w="450" w:type="dxa"/>
            <w:tcMar>
              <w:left w:w="29" w:type="dxa"/>
              <w:right w:w="29" w:type="dxa"/>
            </w:tcMar>
          </w:tcPr>
          <w:p w14:paraId="05E732E2" w14:textId="77777777" w:rsidR="00EA74BC" w:rsidRPr="00EA74BC" w:rsidRDefault="00EA74BC" w:rsidP="00D541E2">
            <w:pPr>
              <w:spacing w:before="240"/>
              <w:jc w:val="center"/>
              <w:rPr>
                <w:sz w:val="12"/>
                <w:szCs w:val="12"/>
              </w:rPr>
            </w:pPr>
            <w:r w:rsidRPr="00EA74BC">
              <w:rPr>
                <w:sz w:val="12"/>
                <w:szCs w:val="12"/>
              </w:rPr>
              <w:t>15</w:t>
            </w:r>
          </w:p>
        </w:tc>
        <w:tc>
          <w:tcPr>
            <w:tcW w:w="540" w:type="dxa"/>
            <w:tcMar>
              <w:left w:w="29" w:type="dxa"/>
              <w:right w:w="29" w:type="dxa"/>
            </w:tcMar>
          </w:tcPr>
          <w:p w14:paraId="1197CC5D" w14:textId="77777777" w:rsidR="00EA74BC" w:rsidRPr="00EA74BC" w:rsidRDefault="00EA74BC" w:rsidP="00D541E2">
            <w:pPr>
              <w:spacing w:before="240"/>
              <w:jc w:val="center"/>
              <w:rPr>
                <w:sz w:val="12"/>
                <w:szCs w:val="12"/>
              </w:rPr>
            </w:pPr>
            <w:r w:rsidRPr="00EA74BC">
              <w:rPr>
                <w:sz w:val="12"/>
                <w:szCs w:val="12"/>
              </w:rPr>
              <w:t>1056</w:t>
            </w:r>
          </w:p>
        </w:tc>
        <w:tc>
          <w:tcPr>
            <w:tcW w:w="630" w:type="dxa"/>
            <w:tcMar>
              <w:left w:w="29" w:type="dxa"/>
              <w:right w:w="29" w:type="dxa"/>
            </w:tcMar>
          </w:tcPr>
          <w:p w14:paraId="0787D179" w14:textId="77777777" w:rsidR="00EA74BC" w:rsidRPr="00EA74BC" w:rsidRDefault="00EA74BC" w:rsidP="00D541E2">
            <w:pPr>
              <w:spacing w:before="240"/>
              <w:jc w:val="center"/>
              <w:rPr>
                <w:sz w:val="12"/>
                <w:szCs w:val="12"/>
              </w:rPr>
            </w:pPr>
            <w:r w:rsidRPr="00EA74BC">
              <w:rPr>
                <w:sz w:val="12"/>
                <w:szCs w:val="12"/>
              </w:rPr>
              <w:t>1045</w:t>
            </w:r>
          </w:p>
        </w:tc>
        <w:tc>
          <w:tcPr>
            <w:tcW w:w="630" w:type="dxa"/>
            <w:tcMar>
              <w:left w:w="29" w:type="dxa"/>
              <w:right w:w="29" w:type="dxa"/>
            </w:tcMar>
          </w:tcPr>
          <w:p w14:paraId="007BBF97" w14:textId="77777777" w:rsidR="00EA74BC" w:rsidRPr="00EA74BC" w:rsidRDefault="00EA74BC" w:rsidP="00D541E2">
            <w:pPr>
              <w:spacing w:before="240"/>
              <w:jc w:val="center"/>
              <w:rPr>
                <w:sz w:val="12"/>
                <w:szCs w:val="12"/>
              </w:rPr>
            </w:pPr>
            <w:r w:rsidRPr="00EA74BC">
              <w:rPr>
                <w:sz w:val="12"/>
                <w:szCs w:val="12"/>
              </w:rPr>
              <w:t>231</w:t>
            </w:r>
          </w:p>
        </w:tc>
        <w:tc>
          <w:tcPr>
            <w:tcW w:w="630" w:type="dxa"/>
            <w:tcMar>
              <w:left w:w="29" w:type="dxa"/>
              <w:right w:w="29" w:type="dxa"/>
            </w:tcMar>
          </w:tcPr>
          <w:p w14:paraId="2671B2EA" w14:textId="77777777" w:rsidR="00EA74BC" w:rsidRPr="00EA74BC" w:rsidRDefault="00EA74BC" w:rsidP="00D541E2">
            <w:pPr>
              <w:spacing w:before="240"/>
              <w:jc w:val="center"/>
              <w:rPr>
                <w:sz w:val="12"/>
                <w:szCs w:val="12"/>
              </w:rPr>
            </w:pPr>
            <w:r w:rsidRPr="00EA74BC">
              <w:rPr>
                <w:sz w:val="12"/>
                <w:szCs w:val="12"/>
              </w:rPr>
              <w:t>71</w:t>
            </w:r>
          </w:p>
        </w:tc>
        <w:tc>
          <w:tcPr>
            <w:tcW w:w="630" w:type="dxa"/>
            <w:tcMar>
              <w:left w:w="29" w:type="dxa"/>
              <w:right w:w="29" w:type="dxa"/>
            </w:tcMar>
          </w:tcPr>
          <w:p w14:paraId="72E9712E" w14:textId="77777777" w:rsidR="00EA74BC" w:rsidRPr="00EA74BC" w:rsidRDefault="00EA74BC" w:rsidP="00D541E2">
            <w:pPr>
              <w:spacing w:before="240"/>
              <w:jc w:val="center"/>
              <w:rPr>
                <w:sz w:val="12"/>
                <w:szCs w:val="12"/>
              </w:rPr>
            </w:pPr>
            <w:r w:rsidRPr="00EA74BC">
              <w:rPr>
                <w:sz w:val="12"/>
                <w:szCs w:val="12"/>
              </w:rPr>
              <w:t>220</w:t>
            </w:r>
          </w:p>
        </w:tc>
        <w:tc>
          <w:tcPr>
            <w:tcW w:w="630" w:type="dxa"/>
            <w:tcMar>
              <w:left w:w="29" w:type="dxa"/>
              <w:right w:w="29" w:type="dxa"/>
            </w:tcMar>
          </w:tcPr>
          <w:p w14:paraId="00A7E392" w14:textId="77777777" w:rsidR="00EA74BC" w:rsidRPr="00EA74BC" w:rsidRDefault="00EA74BC" w:rsidP="00D541E2">
            <w:pPr>
              <w:spacing w:before="240"/>
              <w:jc w:val="center"/>
              <w:rPr>
                <w:sz w:val="12"/>
                <w:szCs w:val="12"/>
              </w:rPr>
            </w:pPr>
            <w:r w:rsidRPr="00EA74BC">
              <w:rPr>
                <w:sz w:val="12"/>
                <w:szCs w:val="12"/>
              </w:rPr>
              <w:t>60</w:t>
            </w:r>
          </w:p>
        </w:tc>
        <w:tc>
          <w:tcPr>
            <w:tcW w:w="450" w:type="dxa"/>
            <w:tcMar>
              <w:left w:w="29" w:type="dxa"/>
              <w:right w:w="29" w:type="dxa"/>
            </w:tcMar>
          </w:tcPr>
          <w:p w14:paraId="43D1F87C" w14:textId="77777777" w:rsidR="00EA74BC" w:rsidRPr="00EA74BC" w:rsidRDefault="00EA74BC" w:rsidP="00D541E2">
            <w:pPr>
              <w:spacing w:before="240"/>
              <w:jc w:val="center"/>
              <w:rPr>
                <w:sz w:val="12"/>
                <w:szCs w:val="12"/>
              </w:rPr>
            </w:pPr>
            <w:r w:rsidRPr="00EA74BC">
              <w:rPr>
                <w:sz w:val="12"/>
                <w:szCs w:val="12"/>
              </w:rPr>
              <w:t>220</w:t>
            </w:r>
          </w:p>
        </w:tc>
        <w:tc>
          <w:tcPr>
            <w:tcW w:w="720" w:type="dxa"/>
            <w:tcMar>
              <w:left w:w="29" w:type="dxa"/>
              <w:right w:w="29" w:type="dxa"/>
            </w:tcMar>
          </w:tcPr>
          <w:p w14:paraId="69367979" w14:textId="77777777" w:rsidR="00EA74BC" w:rsidRPr="00EA74BC" w:rsidRDefault="00EA74BC" w:rsidP="00D541E2">
            <w:pPr>
              <w:spacing w:before="240"/>
              <w:jc w:val="center"/>
              <w:rPr>
                <w:sz w:val="12"/>
                <w:szCs w:val="12"/>
              </w:rPr>
            </w:pPr>
            <w:r w:rsidRPr="00EA74BC">
              <w:rPr>
                <w:sz w:val="12"/>
                <w:szCs w:val="12"/>
              </w:rPr>
              <w:t>0.95</w:t>
            </w:r>
          </w:p>
        </w:tc>
        <w:tc>
          <w:tcPr>
            <w:tcW w:w="540" w:type="dxa"/>
            <w:tcMar>
              <w:left w:w="29" w:type="dxa"/>
              <w:right w:w="29" w:type="dxa"/>
            </w:tcMar>
          </w:tcPr>
          <w:p w14:paraId="69DF06BF" w14:textId="77777777" w:rsidR="00EA74BC" w:rsidRPr="00EA74BC" w:rsidRDefault="00EA74BC" w:rsidP="00D541E2">
            <w:pPr>
              <w:spacing w:before="240"/>
              <w:jc w:val="center"/>
              <w:rPr>
                <w:sz w:val="12"/>
                <w:szCs w:val="12"/>
              </w:rPr>
            </w:pPr>
            <w:r w:rsidRPr="00EA74BC">
              <w:rPr>
                <w:sz w:val="12"/>
                <w:szCs w:val="12"/>
              </w:rPr>
              <w:t>1000</w:t>
            </w:r>
          </w:p>
        </w:tc>
        <w:tc>
          <w:tcPr>
            <w:tcW w:w="720" w:type="dxa"/>
            <w:tcMar>
              <w:left w:w="29" w:type="dxa"/>
              <w:right w:w="29" w:type="dxa"/>
            </w:tcMar>
          </w:tcPr>
          <w:p w14:paraId="2C12CDE4" w14:textId="77777777" w:rsidR="00EA74BC" w:rsidRPr="00EA74BC" w:rsidRDefault="00EA74BC" w:rsidP="00D541E2">
            <w:pPr>
              <w:spacing w:before="240"/>
              <w:jc w:val="center"/>
              <w:rPr>
                <w:sz w:val="12"/>
                <w:szCs w:val="12"/>
              </w:rPr>
            </w:pPr>
            <w:r w:rsidRPr="00EA74BC">
              <w:rPr>
                <w:sz w:val="12"/>
                <w:szCs w:val="12"/>
              </w:rPr>
              <w:t>1056</w:t>
            </w:r>
          </w:p>
        </w:tc>
        <w:tc>
          <w:tcPr>
            <w:tcW w:w="630" w:type="dxa"/>
            <w:tcMar>
              <w:left w:w="29" w:type="dxa"/>
              <w:right w:w="29" w:type="dxa"/>
            </w:tcMar>
          </w:tcPr>
          <w:p w14:paraId="68716B02" w14:textId="77777777" w:rsidR="00EA74BC" w:rsidRPr="00EA74BC" w:rsidRDefault="00EA74BC" w:rsidP="00D541E2">
            <w:pPr>
              <w:spacing w:before="240"/>
              <w:jc w:val="center"/>
              <w:rPr>
                <w:sz w:val="12"/>
                <w:szCs w:val="12"/>
              </w:rPr>
            </w:pPr>
            <w:r w:rsidRPr="00EA74BC">
              <w:rPr>
                <w:sz w:val="12"/>
                <w:szCs w:val="12"/>
              </w:rPr>
              <w:t>5.963</w:t>
            </w:r>
          </w:p>
        </w:tc>
        <w:tc>
          <w:tcPr>
            <w:tcW w:w="540" w:type="dxa"/>
            <w:tcMar>
              <w:left w:w="29" w:type="dxa"/>
              <w:right w:w="29" w:type="dxa"/>
            </w:tcMar>
          </w:tcPr>
          <w:p w14:paraId="62231AFE" w14:textId="77777777" w:rsidR="00EA74BC" w:rsidRPr="00EA74BC" w:rsidRDefault="00EA74BC" w:rsidP="00D541E2">
            <w:pPr>
              <w:spacing w:before="240"/>
              <w:jc w:val="center"/>
              <w:rPr>
                <w:sz w:val="12"/>
                <w:szCs w:val="12"/>
              </w:rPr>
            </w:pPr>
            <w:r w:rsidRPr="00EA74BC">
              <w:rPr>
                <w:sz w:val="12"/>
                <w:szCs w:val="12"/>
              </w:rPr>
              <w:t>70</w:t>
            </w:r>
          </w:p>
        </w:tc>
        <w:tc>
          <w:tcPr>
            <w:tcW w:w="540" w:type="dxa"/>
            <w:tcMar>
              <w:left w:w="29" w:type="dxa"/>
              <w:right w:w="29" w:type="dxa"/>
            </w:tcMar>
          </w:tcPr>
          <w:p w14:paraId="77CF785B" w14:textId="77777777" w:rsidR="00EA74BC" w:rsidRPr="00EA74BC" w:rsidRDefault="00EA74BC" w:rsidP="00D541E2">
            <w:pPr>
              <w:spacing w:before="240"/>
              <w:jc w:val="center"/>
              <w:rPr>
                <w:sz w:val="12"/>
                <w:szCs w:val="12"/>
              </w:rPr>
            </w:pPr>
            <w:r w:rsidRPr="00EA74BC">
              <w:rPr>
                <w:sz w:val="12"/>
                <w:szCs w:val="12"/>
              </w:rPr>
              <w:t>0.000999</w:t>
            </w:r>
          </w:p>
        </w:tc>
        <w:tc>
          <w:tcPr>
            <w:tcW w:w="540" w:type="dxa"/>
            <w:tcMar>
              <w:left w:w="29" w:type="dxa"/>
              <w:right w:w="29" w:type="dxa"/>
            </w:tcMar>
          </w:tcPr>
          <w:p w14:paraId="6D494573" w14:textId="77777777" w:rsidR="00EA74BC" w:rsidRPr="00EA74BC" w:rsidRDefault="00EA74BC" w:rsidP="00D541E2">
            <w:pPr>
              <w:spacing w:before="240"/>
              <w:jc w:val="center"/>
              <w:rPr>
                <w:sz w:val="12"/>
                <w:szCs w:val="12"/>
              </w:rPr>
            </w:pPr>
            <w:r w:rsidRPr="00EA74BC">
              <w:rPr>
                <w:sz w:val="12"/>
                <w:szCs w:val="12"/>
              </w:rPr>
              <w:t>1.276</w:t>
            </w:r>
          </w:p>
        </w:tc>
        <w:tc>
          <w:tcPr>
            <w:tcW w:w="540" w:type="dxa"/>
            <w:tcMar>
              <w:left w:w="29" w:type="dxa"/>
              <w:right w:w="29" w:type="dxa"/>
            </w:tcMar>
          </w:tcPr>
          <w:p w14:paraId="2EFA3980" w14:textId="77777777" w:rsidR="00EA74BC" w:rsidRPr="00EA74BC" w:rsidRDefault="00EA74BC" w:rsidP="00D541E2">
            <w:pPr>
              <w:spacing w:before="240"/>
              <w:jc w:val="center"/>
              <w:rPr>
                <w:sz w:val="12"/>
                <w:szCs w:val="12"/>
              </w:rPr>
            </w:pPr>
            <w:r w:rsidRPr="00EA74BC">
              <w:rPr>
                <w:sz w:val="12"/>
                <w:szCs w:val="12"/>
              </w:rPr>
              <w:t>22</w:t>
            </w:r>
          </w:p>
        </w:tc>
        <w:tc>
          <w:tcPr>
            <w:tcW w:w="720" w:type="dxa"/>
            <w:tcMar>
              <w:left w:w="29" w:type="dxa"/>
              <w:right w:w="29" w:type="dxa"/>
            </w:tcMar>
          </w:tcPr>
          <w:p w14:paraId="507CAC8E" w14:textId="77777777" w:rsidR="00EA74BC" w:rsidRPr="00EA74BC" w:rsidRDefault="00EA74BC" w:rsidP="00D541E2">
            <w:pPr>
              <w:spacing w:before="240"/>
              <w:jc w:val="center"/>
              <w:rPr>
                <w:sz w:val="12"/>
                <w:szCs w:val="12"/>
              </w:rPr>
            </w:pPr>
            <w:r w:rsidRPr="00EA74BC">
              <w:rPr>
                <w:sz w:val="12"/>
                <w:szCs w:val="12"/>
              </w:rPr>
              <w:t>0.000999</w:t>
            </w:r>
          </w:p>
        </w:tc>
      </w:tr>
    </w:tbl>
    <w:p w14:paraId="72E6A99F" w14:textId="77777777" w:rsidR="00EA74BC" w:rsidRDefault="00EA74BC" w:rsidP="00EA74BC">
      <w:pPr>
        <w:spacing w:before="240"/>
        <w:jc w:val="both"/>
        <w:rPr>
          <w:sz w:val="22"/>
          <w:szCs w:val="22"/>
          <w:highlight w:val="yellow"/>
        </w:rPr>
      </w:pPr>
    </w:p>
    <w:p w14:paraId="3FED1FD4" w14:textId="7E43321E" w:rsidR="00EA74BC" w:rsidRDefault="00EA74BC" w:rsidP="00EA74BC">
      <w:pPr>
        <w:spacing w:before="240"/>
        <w:jc w:val="both"/>
        <w:rPr>
          <w:sz w:val="22"/>
          <w:szCs w:val="22"/>
        </w:rPr>
      </w:pPr>
      <w:r w:rsidRPr="003C264C">
        <w:rPr>
          <w:sz w:val="22"/>
          <w:szCs w:val="22"/>
        </w:rPr>
        <w:t>Tissue-specific clusters and their GO annotations are provided in Supplementary Tables as follows: SDX (Tables S2–S5), leaf (Tables S9–S10), and xylem (Tables S14–S17). For example, in SDX, cluster 6 was dominated by ribosome and RNA biogenesis programs, such as ribosome biogenesis (GO:0042254; FDR=8.93×10⁻¹³), and RNA processing (GO:0006396; FDR = 2.88×10⁹) (Figure 8A). Together, Cluster 6 genes likely support TOR-driven Autophagy, Transcription and Ribosome biogenesis. Whereas cluster 7 captured translation-linked biosynthetic activity, including Autophagy, Ribosome and Cell wall morphogenesis with TOR-regulated growth control.</w:t>
      </w:r>
      <w:r w:rsidRPr="003C264C">
        <w:rPr>
          <w:b/>
          <w:bCs/>
          <w:sz w:val="22"/>
          <w:szCs w:val="22"/>
        </w:rPr>
        <w:t xml:space="preserve"> </w:t>
      </w:r>
      <w:r w:rsidRPr="003C264C">
        <w:rPr>
          <w:sz w:val="22"/>
          <w:szCs w:val="22"/>
        </w:rPr>
        <w:t xml:space="preserve">Finally, cluster 15’s genes likely represent TOR-coordinated protein production and metabolic investment required for sustained SDX growth and differentiation. In leaf, cluster 1 is enriched for photosynthesis/plastid programs (chloroplast organization, </w:t>
      </w:r>
      <w:r w:rsidRPr="003C264C">
        <w:rPr>
          <w:sz w:val="22"/>
          <w:szCs w:val="22"/>
        </w:rPr>
        <w:lastRenderedPageBreak/>
        <w:t xml:space="preserve">chlorophyll metabolism), consistent with TOR-supported chloroplast/photomorphogenesis outputs (supplementary tables 3) </w:t>
      </w:r>
      <w:r w:rsidRPr="003C264C">
        <w:rPr>
          <w:sz w:val="22"/>
          <w:szCs w:val="22"/>
        </w:rPr>
        <w:fldChar w:fldCharType="begin"/>
      </w:r>
      <w:r w:rsidRPr="003C264C">
        <w:rPr>
          <w:sz w:val="22"/>
          <w:szCs w:val="22"/>
        </w:rPr>
        <w:instrText xml:space="preserve"> ADDIN EN.CITE &lt;EndNote&gt;&lt;Cite&gt;&lt;Author&gt;Shi&lt;/Author&gt;&lt;Year&gt;2018&lt;/Year&gt;&lt;RecNum&gt;153&lt;/RecNum&gt;&lt;DisplayText&gt;(1)&lt;/DisplayText&gt;&lt;record&gt;&lt;rec-number&gt;153&lt;/rec-number&gt;&lt;foreign-keys&gt;&lt;key app="EN" db-id="z2f22ap9xfz95reat5wps20ua5wzwvpxs0ef" timestamp="1771878013"&gt;153&lt;/key&gt;&lt;/foreign-keys&gt;&lt;ref-type name="Journal Article"&gt;17&lt;/ref-type&gt;&lt;contributors&gt;&lt;authors&gt;&lt;author&gt;Shi, Lin&lt;/author&gt;&lt;author&gt;Wu, Yue&lt;/author&gt;&lt;author&gt;Sheen, Jen&lt;/author&gt;&lt;/authors&gt;&lt;/contributors&gt;&lt;titles&gt;&lt;title&gt;TOR signaling in plants: conservation and innovation&lt;/title&gt;&lt;secondary-title&gt;Development&lt;/secondary-title&gt;&lt;/titles&gt;&lt;periodical&gt;&lt;full-title&gt;Development&lt;/full-title&gt;&lt;/periodical&gt;&lt;pages&gt;dev160887&lt;/pages&gt;&lt;volume&gt;145&lt;/volume&gt;&lt;number&gt;13&lt;/number&gt;&lt;dates&gt;&lt;year&gt;2018&lt;/year&gt;&lt;/dates&gt;&lt;isbn&gt;1477-9129&lt;/isbn&gt;&lt;urls&gt;&lt;/urls&gt;&lt;/record&gt;&lt;/Cite&gt;&lt;/EndNote&gt;</w:instrText>
      </w:r>
      <w:r w:rsidRPr="003C264C">
        <w:rPr>
          <w:sz w:val="22"/>
          <w:szCs w:val="22"/>
        </w:rPr>
        <w:fldChar w:fldCharType="separate"/>
      </w:r>
      <w:r w:rsidRPr="003C264C">
        <w:rPr>
          <w:noProof/>
          <w:sz w:val="22"/>
          <w:szCs w:val="22"/>
        </w:rPr>
        <w:t>(1)</w:t>
      </w:r>
      <w:r w:rsidRPr="003C264C">
        <w:rPr>
          <w:sz w:val="22"/>
          <w:szCs w:val="22"/>
        </w:rPr>
        <w:fldChar w:fldCharType="end"/>
      </w:r>
      <w:r w:rsidRPr="003C264C">
        <w:rPr>
          <w:sz w:val="22"/>
          <w:szCs w:val="22"/>
        </w:rPr>
        <w:t xml:space="preserve">. Cluster 15 captures a broader TOR-associated growth signature—translation/ribosome, respiration/central carbon metabolism, and developmental/cell-wall terms (supplementary tables 3). In xylem tissues, cluster 2 emphasizes autophagy with lipid and amino-acid metabolism, consistent with TOR-linked resource recycling during differentiation </w:t>
      </w:r>
      <w:r w:rsidRPr="003C264C">
        <w:rPr>
          <w:sz w:val="22"/>
          <w:szCs w:val="22"/>
        </w:rPr>
        <w:fldChar w:fldCharType="begin"/>
      </w:r>
      <w:r w:rsidRPr="003C264C">
        <w:rPr>
          <w:sz w:val="22"/>
          <w:szCs w:val="22"/>
        </w:rPr>
        <w:instrText xml:space="preserve"> ADDIN EN.CITE &lt;EndNote&gt;&lt;Cite&gt;&lt;Author&gt;Shi&lt;/Author&gt;&lt;Year&gt;2018&lt;/Year&gt;&lt;RecNum&gt;153&lt;/RecNum&gt;&lt;DisplayText&gt;(1)&lt;/DisplayText&gt;&lt;record&gt;&lt;rec-number&gt;153&lt;/rec-number&gt;&lt;foreign-keys&gt;&lt;key app="EN" db-id="z2f22ap9xfz95reat5wps20ua5wzwvpxs0ef" timestamp="1771878013"&gt;153&lt;/key&gt;&lt;/foreign-keys&gt;&lt;ref-type name="Journal Article"&gt;17&lt;/ref-type&gt;&lt;contributors&gt;&lt;authors&gt;&lt;author&gt;Shi, Lin&lt;/author&gt;&lt;author&gt;Wu, Yue&lt;/author&gt;&lt;author&gt;Sheen, Jen&lt;/author&gt;&lt;/authors&gt;&lt;/contributors&gt;&lt;titles&gt;&lt;title&gt;TOR signaling in plants: conservation and innovation&lt;/title&gt;&lt;secondary-title&gt;Development&lt;/secondary-title&gt;&lt;/titles&gt;&lt;periodical&gt;&lt;full-title&gt;Development&lt;/full-title&gt;&lt;/periodical&gt;&lt;pages&gt;dev160887&lt;/pages&gt;&lt;volume&gt;145&lt;/volume&gt;&lt;number&gt;13&lt;/number&gt;&lt;dates&gt;&lt;year&gt;2018&lt;/year&gt;&lt;/dates&gt;&lt;isbn&gt;1477-9129&lt;/isbn&gt;&lt;urls&gt;&lt;/urls&gt;&lt;/record&gt;&lt;/Cite&gt;&lt;/EndNote&gt;</w:instrText>
      </w:r>
      <w:r w:rsidRPr="003C264C">
        <w:rPr>
          <w:sz w:val="22"/>
          <w:szCs w:val="22"/>
        </w:rPr>
        <w:fldChar w:fldCharType="separate"/>
      </w:r>
      <w:r w:rsidRPr="003C264C">
        <w:rPr>
          <w:noProof/>
          <w:sz w:val="22"/>
          <w:szCs w:val="22"/>
        </w:rPr>
        <w:t>(1)</w:t>
      </w:r>
      <w:r w:rsidRPr="003C264C">
        <w:rPr>
          <w:sz w:val="22"/>
          <w:szCs w:val="22"/>
        </w:rPr>
        <w:fldChar w:fldCharType="end"/>
      </w:r>
      <w:r w:rsidRPr="003C264C">
        <w:rPr>
          <w:sz w:val="22"/>
          <w:szCs w:val="22"/>
        </w:rPr>
        <w:t xml:space="preserve"> , while cluster 3 is enriched for translation/ribosome and transcription/cell-cycle terms, matching early differentiation programs where translational machinery is induced </w:t>
      </w:r>
      <w:r w:rsidRPr="003C264C">
        <w:rPr>
          <w:sz w:val="22"/>
          <w:szCs w:val="22"/>
        </w:rPr>
        <w:fldChar w:fldCharType="begin"/>
      </w:r>
      <w:r w:rsidRPr="003C264C">
        <w:rPr>
          <w:sz w:val="22"/>
          <w:szCs w:val="22"/>
        </w:rPr>
        <w:instrText xml:space="preserve"> ADDIN EN.CITE &lt;EndNote&gt;&lt;Cite&gt;&lt;Author&gt;Demura&lt;/Author&gt;&lt;Year&gt;2002&lt;/Year&gt;&lt;RecNum&gt;154&lt;/RecNum&gt;&lt;DisplayText&gt;(2)&lt;/DisplayText&gt;&lt;record&gt;&lt;rec-number&gt;154&lt;/rec-number&gt;&lt;foreign-keys&gt;&lt;key app="EN" db-id="z2f22ap9xfz95reat5wps20ua5wzwvpxs0ef" timestamp="1771878511"&gt;154&lt;/key&gt;&lt;/foreign-keys&gt;&lt;ref-type name="Journal Article"&gt;17&lt;/ref-type&gt;&lt;contributors&gt;&lt;authors&gt;&lt;author&gt;Demura, Taku&lt;/author&gt;&lt;author&gt;Tashiro, Gen&lt;/author&gt;&lt;author&gt;Horiguchi, Gorou&lt;/author&gt;&lt;author&gt;Kishimoto, Naoki&lt;/author&gt;&lt;author&gt;Kubo, Minoru&lt;/author&gt;&lt;author&gt;Matsuoka, Naoko&lt;/author&gt;&lt;author&gt;Minami, Atsushi&lt;/author&gt;&lt;author&gt;Nagata-Hiwatashi, Miyo&lt;/author&gt;&lt;author&gt;Nakamura, Keiko&lt;/author&gt;&lt;author&gt;Okamura, Yoshimichi&lt;/author&gt;&lt;/authors&gt;&lt;/contributors&gt;&lt;titles&gt;&lt;title&gt;Visualization by comprehensive microarray analysis of gene expression programs during transdifferentiation of mesophyll cells into xylem cells&lt;/title&gt;&lt;secondary-title&gt;Proceedings of the National Academy of Sciences&lt;/secondary-title&gt;&lt;/titles&gt;&lt;periodical&gt;&lt;full-title&gt;Proceedings of the National Academy of Sciences&lt;/full-title&gt;&lt;/periodical&gt;&lt;pages&gt;15794-15799&lt;/pages&gt;&lt;volume&gt;99&lt;/volume&gt;&lt;number&gt;24&lt;/number&gt;&lt;dates&gt;&lt;year&gt;2002&lt;/year&gt;&lt;/dates&gt;&lt;isbn&gt;0027-8424&lt;/isbn&gt;&lt;urls&gt;&lt;/urls&gt;&lt;/record&gt;&lt;/Cite&gt;&lt;/EndNote&gt;</w:instrText>
      </w:r>
      <w:r w:rsidRPr="003C264C">
        <w:rPr>
          <w:sz w:val="22"/>
          <w:szCs w:val="22"/>
        </w:rPr>
        <w:fldChar w:fldCharType="separate"/>
      </w:r>
      <w:r w:rsidRPr="003C264C">
        <w:rPr>
          <w:noProof/>
          <w:sz w:val="22"/>
          <w:szCs w:val="22"/>
        </w:rPr>
        <w:t>(2)</w:t>
      </w:r>
      <w:r w:rsidRPr="003C264C">
        <w:rPr>
          <w:sz w:val="22"/>
          <w:szCs w:val="22"/>
        </w:rPr>
        <w:fldChar w:fldCharType="end"/>
      </w:r>
      <w:r w:rsidRPr="003C264C">
        <w:rPr>
          <w:sz w:val="22"/>
          <w:szCs w:val="22"/>
        </w:rPr>
        <w:t xml:space="preserve">. Cluster 22 integrates cell cycle and cell-wall development, aligning with coordinated proliferation/differentiation and secondary wall deposition during xylem maturation </w:t>
      </w:r>
      <w:r w:rsidRPr="003C264C">
        <w:rPr>
          <w:sz w:val="22"/>
          <w:szCs w:val="22"/>
        </w:rPr>
        <w:fldChar w:fldCharType="begin"/>
      </w:r>
      <w:r w:rsidRPr="003C264C">
        <w:rPr>
          <w:sz w:val="22"/>
          <w:szCs w:val="22"/>
        </w:rPr>
        <w:instrText xml:space="preserve"> ADDIN EN.CITE &lt;EndNote&gt;&lt;Cite&gt;&lt;Author&gt;Liu&lt;/Author&gt;&lt;Year&gt;2024&lt;/Year&gt;&lt;RecNum&gt;155&lt;/RecNum&gt;&lt;DisplayText&gt;(3)&lt;/DisplayText&gt;&lt;record&gt;&lt;rec-number&gt;155&lt;/rec-number&gt;&lt;foreign-keys&gt;&lt;key app="EN" db-id="z2f22ap9xfz95reat5wps20ua5wzwvpxs0ef" timestamp="1771878588"&gt;155&lt;/key&gt;&lt;/foreign-keys&gt;&lt;ref-type name="Journal Article"&gt;17&lt;/ref-type&gt;&lt;contributors&gt;&lt;authors&gt;&lt;author&gt;Liu, Guo&lt;/author&gt;&lt;author&gt;Zhang, Guowu&lt;/author&gt;&lt;author&gt;Wu, Zhihua&lt;/author&gt;&lt;author&gt;Lu, Wanhong&lt;/author&gt;&lt;author&gt;Lin, Yan&lt;/author&gt;&lt;author&gt;Wang, Chubiao&lt;/author&gt;&lt;author&gt;Shang, Xiuhua&lt;/author&gt;&lt;author&gt;Huang, Anying&lt;/author&gt;&lt;author&gt;Luo, Jianzhong&lt;/author&gt;&lt;/authors&gt;&lt;/contributors&gt;&lt;titles&gt;&lt;title&gt;Comparative proteomic analysis provides insights into wood formation in immature xylem at different ages in Eucalyptus urophylla× Eucalyptus grandis&lt;/title&gt;&lt;secondary-title&gt;Frontiers in Plant Science&lt;/secondary-title&gt;&lt;/titles&gt;&lt;periodical&gt;&lt;full-title&gt;Frontiers in Plant Science&lt;/full-title&gt;&lt;/periodical&gt;&lt;pages&gt;1431164&lt;/pages&gt;&lt;volume&gt;15&lt;/volume&gt;&lt;dates&gt;&lt;year&gt;2024&lt;/year&gt;&lt;/dates&gt;&lt;isbn&gt;1664-462X&lt;/isbn&gt;&lt;urls&gt;&lt;/urls&gt;&lt;/record&gt;&lt;/Cite&gt;&lt;/EndNote&gt;</w:instrText>
      </w:r>
      <w:r w:rsidRPr="003C264C">
        <w:rPr>
          <w:sz w:val="22"/>
          <w:szCs w:val="22"/>
        </w:rPr>
        <w:fldChar w:fldCharType="separate"/>
      </w:r>
      <w:r w:rsidRPr="003C264C">
        <w:rPr>
          <w:noProof/>
          <w:sz w:val="22"/>
          <w:szCs w:val="22"/>
        </w:rPr>
        <w:t>(3)</w:t>
      </w:r>
      <w:r w:rsidRPr="003C264C">
        <w:rPr>
          <w:sz w:val="22"/>
          <w:szCs w:val="22"/>
        </w:rPr>
        <w:fldChar w:fldCharType="end"/>
      </w:r>
      <w:r w:rsidRPr="003C264C">
        <w:rPr>
          <w:sz w:val="22"/>
          <w:szCs w:val="22"/>
        </w:rPr>
        <w:t>.</w:t>
      </w:r>
      <w:r>
        <w:rPr>
          <w:sz w:val="22"/>
          <w:szCs w:val="22"/>
        </w:rPr>
        <w:t xml:space="preserve">  </w:t>
      </w:r>
    </w:p>
    <w:p w14:paraId="14971E40" w14:textId="6E72A6AC" w:rsidR="003C264C" w:rsidRDefault="003C264C" w:rsidP="00EA74BC">
      <w:pPr>
        <w:spacing w:before="240"/>
        <w:jc w:val="both"/>
        <w:rPr>
          <w:b/>
          <w:bCs/>
          <w:sz w:val="22"/>
          <w:szCs w:val="22"/>
        </w:rPr>
      </w:pPr>
      <w:r w:rsidRPr="00EA74BC">
        <w:rPr>
          <w:b/>
          <w:bCs/>
          <w:sz w:val="22"/>
          <w:szCs w:val="22"/>
        </w:rPr>
        <w:t>Validation of</w:t>
      </w:r>
      <w:r>
        <w:rPr>
          <w:b/>
          <w:bCs/>
          <w:sz w:val="22"/>
          <w:szCs w:val="22"/>
        </w:rPr>
        <w:t xml:space="preserve"> novel downstream gene (NDGs) candidate</w:t>
      </w:r>
    </w:p>
    <w:p w14:paraId="2B930FDA" w14:textId="5A1766EA" w:rsidR="00374A26" w:rsidRDefault="00374A26" w:rsidP="003C264C">
      <w:pPr>
        <w:spacing w:before="240"/>
        <w:jc w:val="both"/>
        <w:rPr>
          <w:sz w:val="22"/>
          <w:szCs w:val="22"/>
        </w:rPr>
      </w:pPr>
      <w:r w:rsidRPr="00374A26">
        <w:rPr>
          <w:sz w:val="22"/>
          <w:szCs w:val="22"/>
        </w:rPr>
        <w:t>Based on published literature and curated databases, we identified multiple candidate novel downstream genes (NDGs) that may be directly or indirectly linked to TOR-complex downstream effects. Table 4 summarizes literature-supported NDGs across the KDG-enriched clusters. In SDX, we identified 7, 9, and 8 NDGs in clusters 6, 7, and 15, respectively (details in Tables S</w:t>
      </w:r>
      <w:r>
        <w:rPr>
          <w:sz w:val="22"/>
          <w:szCs w:val="22"/>
        </w:rPr>
        <w:t>6-S8</w:t>
      </w:r>
      <w:r w:rsidRPr="00374A26">
        <w:rPr>
          <w:sz w:val="22"/>
          <w:szCs w:val="22"/>
        </w:rPr>
        <w:t>). In leaf, clusters 1 and 15 contained 11 and 15 NDGs, respectively (Supplementary Tables S</w:t>
      </w:r>
      <w:r>
        <w:rPr>
          <w:sz w:val="22"/>
          <w:szCs w:val="22"/>
        </w:rPr>
        <w:t>12-S13</w:t>
      </w:r>
      <w:r w:rsidRPr="00374A26">
        <w:rPr>
          <w:sz w:val="22"/>
          <w:szCs w:val="22"/>
        </w:rPr>
        <w:t>). In xylem, we found 8, 3, and 7 NDGs in clusters 2, 3, and 22, respectively (Supplementary Tables S</w:t>
      </w:r>
      <w:r>
        <w:rPr>
          <w:sz w:val="22"/>
          <w:szCs w:val="22"/>
        </w:rPr>
        <w:t>18-S20</w:t>
      </w:r>
      <w:r w:rsidRPr="00374A26">
        <w:rPr>
          <w:sz w:val="22"/>
          <w:szCs w:val="22"/>
        </w:rPr>
        <w:t>).</w:t>
      </w:r>
    </w:p>
    <w:p w14:paraId="7FCFFC0B" w14:textId="7B8B56EF" w:rsidR="003C264C" w:rsidRDefault="003C264C" w:rsidP="003C264C">
      <w:pPr>
        <w:spacing w:before="240"/>
        <w:jc w:val="both"/>
        <w:rPr>
          <w:sz w:val="22"/>
          <w:szCs w:val="22"/>
        </w:rPr>
      </w:pPr>
      <w:r w:rsidRPr="003C264C">
        <w:rPr>
          <w:sz w:val="22"/>
          <w:szCs w:val="22"/>
        </w:rPr>
        <w:t xml:space="preserve">The functional composition of the identified clusters mirrors well-established biological outputs of plant TOR </w:t>
      </w:r>
      <w:proofErr w:type="spellStart"/>
      <w:r w:rsidRPr="003C264C">
        <w:rPr>
          <w:sz w:val="22"/>
          <w:szCs w:val="22"/>
        </w:rPr>
        <w:t>signalling</w:t>
      </w:r>
      <w:proofErr w:type="spellEnd"/>
      <w:r w:rsidRPr="003C264C">
        <w:rPr>
          <w:sz w:val="22"/>
          <w:szCs w:val="22"/>
        </w:rPr>
        <w:t xml:space="preserve">. Genes in Cluster 6 are predominantly associated with anabolic growth and metabolic activation, processes classically promoted by TOR under nutrient- and energy-sufficient conditions. TOR activation has been shown to stimulate central carbon metabolism and biosynthetic pathways </w:t>
      </w:r>
      <w:r w:rsidRPr="003C264C">
        <w:rPr>
          <w:sz w:val="22"/>
          <w:szCs w:val="22"/>
        </w:rPr>
        <w:fldChar w:fldCharType="begin"/>
      </w:r>
      <w:r>
        <w:rPr>
          <w:sz w:val="22"/>
          <w:szCs w:val="22"/>
        </w:rPr>
        <w:instrText xml:space="preserve"> ADDIN EN.CITE &lt;EndNote&gt;&lt;Cite&gt;&lt;Author&gt;Ren&lt;/Author&gt;&lt;Year&gt;2012&lt;/Year&gt;&lt;RecNum&gt;146&lt;/RecNum&gt;&lt;DisplayText&gt;(4)&lt;/DisplayText&gt;&lt;record&gt;&lt;rec-number&gt;146&lt;/rec-number&gt;&lt;foreign-keys&gt;&lt;key app="EN" db-id="z2f22ap9xfz95reat5wps20ua5wzwvpxs0ef" timestamp="1771862602"&gt;146&lt;/key&gt;&lt;/foreign-keys&gt;&lt;ref-type name="Journal Article"&gt;17&lt;/ref-type&gt;&lt;contributors&gt;&lt;authors&gt;&lt;author&gt;Ren, Maozhi&lt;/author&gt;&lt;author&gt;Venglat, Prakash&lt;/author&gt;&lt;author&gt;Qiu, Shuqing&lt;/author&gt;&lt;author&gt;Feng, Li&lt;/author&gt;&lt;author&gt;Cao, Yongguo&lt;/author&gt;&lt;author&gt;Wang, Edwin&lt;/author&gt;&lt;author&gt;Xiang, Daoquan&lt;/author&gt;&lt;author&gt;Wang, Jinghe&lt;/author&gt;&lt;author&gt;Alexander, Danny&lt;/author&gt;&lt;author&gt;Chalivendra, Subbaiah&lt;/author&gt;&lt;/authors&gt;&lt;/contributors&gt;&lt;titles&gt;&lt;title&gt;Target of rapamycin signaling regulates metabolism, growth, and life span in Arabidopsis&lt;/title&gt;&lt;secondary-title&gt;The Plant Cell&lt;/secondary-title&gt;&lt;/titles&gt;&lt;periodical&gt;&lt;full-title&gt;The Plant Cell&lt;/full-title&gt;&lt;/periodical&gt;&lt;pages&gt;4850-4874&lt;/pages&gt;&lt;volume&gt;24&lt;/volume&gt;&lt;number&gt;12&lt;/number&gt;&lt;dates&gt;&lt;year&gt;2012&lt;/year&gt;&lt;/dates&gt;&lt;isbn&gt;1532-298X&lt;/isbn&gt;&lt;urls&gt;&lt;/urls&gt;&lt;/record&gt;&lt;/Cite&gt;&lt;/EndNote&gt;</w:instrText>
      </w:r>
      <w:r w:rsidRPr="003C264C">
        <w:rPr>
          <w:sz w:val="22"/>
          <w:szCs w:val="22"/>
        </w:rPr>
        <w:fldChar w:fldCharType="separate"/>
      </w:r>
      <w:r>
        <w:rPr>
          <w:noProof/>
          <w:sz w:val="22"/>
          <w:szCs w:val="22"/>
        </w:rPr>
        <w:t>(4)</w:t>
      </w:r>
      <w:r w:rsidRPr="003C264C">
        <w:rPr>
          <w:sz w:val="22"/>
          <w:szCs w:val="22"/>
        </w:rPr>
        <w:fldChar w:fldCharType="end"/>
      </w:r>
      <w:r w:rsidRPr="003C264C">
        <w:rPr>
          <w:sz w:val="22"/>
          <w:szCs w:val="22"/>
        </w:rPr>
        <w:t xml:space="preserve">, while coordinating growth-related transcriptional programs, providing a direct biological framework for the presence of </w:t>
      </w:r>
      <w:r w:rsidRPr="003C264C">
        <w:rPr>
          <w:sz w:val="22"/>
          <w:szCs w:val="22"/>
        </w:rPr>
        <w:fldChar w:fldCharType="begin"/>
      </w:r>
      <w:r>
        <w:rPr>
          <w:sz w:val="22"/>
          <w:szCs w:val="22"/>
        </w:rPr>
        <w:instrText xml:space="preserve"> ADDIN EN.CITE &lt;EndNote&gt;&lt;Cite&gt;&lt;Author&gt;Magaway&lt;/Author&gt;&lt;Year&gt;2019&lt;/Year&gt;&lt;RecNum&gt;123&lt;/RecNum&gt;&lt;DisplayText&gt;(5)&lt;/DisplayText&gt;&lt;record&gt;&lt;rec-number&gt;123&lt;/rec-number&gt;&lt;foreign-keys&gt;&lt;key app="EN" db-id="z2f22ap9xfz95reat5wps20ua5wzwvpxs0ef" timestamp="1771305559"&gt;123&lt;/key&gt;&lt;/foreign-keys&gt;&lt;ref-type name="Journal Article"&gt;17&lt;/ref-type&gt;&lt;contributors&gt;&lt;authors&gt;&lt;author&gt;Magaway, Cedric&lt;/author&gt;&lt;author&gt;Kim, Eugene&lt;/author&gt;&lt;author&gt;Jacinto, Estela&lt;/author&gt;&lt;/authors&gt;&lt;/contributors&gt;&lt;titles&gt;&lt;title&gt;Targeting mTOR and metabolism in cancer: lessons and innovations&lt;/title&gt;&lt;secondary-title&gt;Cells&lt;/secondary-title&gt;&lt;/titles&gt;&lt;periodical&gt;&lt;full-title&gt;Cells&lt;/full-title&gt;&lt;/periodical&gt;&lt;pages&gt;1584&lt;/pages&gt;&lt;volume&gt;8&lt;/volume&gt;&lt;number&gt;12&lt;/number&gt;&lt;dates&gt;&lt;year&gt;2019&lt;/year&gt;&lt;/dates&gt;&lt;isbn&gt;2073-4409&lt;/isbn&gt;&lt;urls&gt;&lt;/urls&gt;&lt;/record&gt;&lt;/Cite&gt;&lt;/EndNote&gt;</w:instrText>
      </w:r>
      <w:r w:rsidRPr="003C264C">
        <w:rPr>
          <w:sz w:val="22"/>
          <w:szCs w:val="22"/>
        </w:rPr>
        <w:fldChar w:fldCharType="separate"/>
      </w:r>
      <w:r>
        <w:rPr>
          <w:noProof/>
          <w:sz w:val="22"/>
          <w:szCs w:val="22"/>
        </w:rPr>
        <w:t>(5)</w:t>
      </w:r>
      <w:r w:rsidRPr="003C264C">
        <w:rPr>
          <w:sz w:val="22"/>
          <w:szCs w:val="22"/>
        </w:rPr>
        <w:fldChar w:fldCharType="end"/>
      </w:r>
      <w:r w:rsidRPr="003C264C">
        <w:rPr>
          <w:sz w:val="22"/>
          <w:szCs w:val="22"/>
        </w:rPr>
        <w:t xml:space="preserve"> and the growth-associated regulator SPL2 </w:t>
      </w:r>
      <w:r w:rsidRPr="003C264C">
        <w:rPr>
          <w:sz w:val="22"/>
          <w:szCs w:val="22"/>
        </w:rPr>
        <w:fldChar w:fldCharType="begin"/>
      </w:r>
      <w:r>
        <w:rPr>
          <w:sz w:val="22"/>
          <w:szCs w:val="22"/>
        </w:rPr>
        <w:instrText xml:space="preserve"> ADDIN EN.CITE &lt;EndNote&gt;&lt;Cite&gt;&lt;Author&gt;Cheng&lt;/Author&gt;&lt;Year&gt;2021&lt;/Year&gt;&lt;RecNum&gt;118&lt;/RecNum&gt;&lt;DisplayText&gt;(6)&lt;/DisplayText&gt;&lt;record&gt;&lt;rec-number&gt;118&lt;/rec-number&gt;&lt;foreign-keys&gt;&lt;key app="EN" db-id="z2f22ap9xfz95reat5wps20ua5wzwvpxs0ef" timestamp="1771304828"&gt;118&lt;/key&gt;&lt;/foreign-keys&gt;&lt;ref-type name="Journal Article"&gt;17&lt;/ref-type&gt;&lt;contributors&gt;&lt;authors&gt;&lt;author&gt;Cheng, Ying-Juan&lt;/author&gt;&lt;author&gt;Shang, Guan-Dong&lt;/author&gt;&lt;author&gt;Xu, Zhou-Geng&lt;/author&gt;&lt;author&gt;Yu, Sha&lt;/author&gt;&lt;author&gt;Wu, Lian-Yu&lt;/author&gt;&lt;author&gt;Zhai, Dong&lt;/author&gt;&lt;author&gt;Tian, Shi-Long&lt;/author&gt;&lt;author&gt;Gao, Jian&lt;/author&gt;&lt;author&gt;Wang, Long&lt;/author&gt;&lt;author&gt;Wang, Jia-Wei&lt;/author&gt;&lt;/authors&gt;&lt;/contributors&gt;&lt;titles&gt;&lt;title&gt;Cell division in the shoot apical meristem is a trigger for miR156 decline and vegetative phase transition in Arabidopsis&lt;/title&gt;&lt;secondary-title&gt;Proceedings of the National Academy of Sciences&lt;/secondary-title&gt;&lt;/titles&gt;&lt;periodical&gt;&lt;full-title&gt;Proceedings of the National Academy of Sciences&lt;/full-title&gt;&lt;/periodical&gt;&lt;pages&gt;e2115667118&lt;/pages&gt;&lt;volume&gt;118&lt;/volume&gt;&lt;number&gt;46&lt;/number&gt;&lt;dates&gt;&lt;year&gt;2021&lt;/year&gt;&lt;/dates&gt;&lt;isbn&gt;0027-8424&lt;/isbn&gt;&lt;urls&gt;&lt;/urls&gt;&lt;/record&gt;&lt;/Cite&gt;&lt;/EndNote&gt;</w:instrText>
      </w:r>
      <w:r w:rsidRPr="003C264C">
        <w:rPr>
          <w:sz w:val="22"/>
          <w:szCs w:val="22"/>
        </w:rPr>
        <w:fldChar w:fldCharType="separate"/>
      </w:r>
      <w:r>
        <w:rPr>
          <w:noProof/>
          <w:sz w:val="22"/>
          <w:szCs w:val="22"/>
        </w:rPr>
        <w:t>(6)</w:t>
      </w:r>
      <w:r w:rsidRPr="003C264C">
        <w:rPr>
          <w:sz w:val="22"/>
          <w:szCs w:val="22"/>
        </w:rPr>
        <w:fldChar w:fldCharType="end"/>
      </w:r>
      <w:r w:rsidRPr="003C264C">
        <w:rPr>
          <w:sz w:val="22"/>
          <w:szCs w:val="22"/>
        </w:rPr>
        <w:t xml:space="preserve">. The co-occurrence of organelle and cellular homeostasis genes such as PEX14-1 and PHB1, together with structural and regulatory components (MAP1A, SBI1) and chromatin-associated modifiers (SDG39), further reflects the known role of TOR in sustaining biosynthetic capacity, organelle function, and growth-supportive gene regulation. In contrast, Cluster 7 is enriched for genes that align with TOR-downshifted stress physiology, where TOR repression is associated with translational reprogramming, stress/ROS management, and survival responses </w:t>
      </w:r>
      <w:r w:rsidRPr="003C264C">
        <w:rPr>
          <w:sz w:val="22"/>
          <w:szCs w:val="22"/>
        </w:rPr>
        <w:fldChar w:fldCharType="begin"/>
      </w:r>
      <w:r w:rsidRPr="003C264C">
        <w:rPr>
          <w:sz w:val="22"/>
          <w:szCs w:val="22"/>
        </w:rPr>
        <w:instrText xml:space="preserve"> ADDIN EN.CITE &lt;EndNote&gt;&lt;Cite&gt;&lt;Author&gt;Fu&lt;/Author&gt;&lt;Year&gt;2020&lt;/Year&gt;&lt;RecNum&gt;148&lt;/RecNum&gt;&lt;DisplayText&gt;(7)&lt;/DisplayText&gt;&lt;record&gt;&lt;rec-number&gt;148&lt;/rec-number&gt;&lt;foreign-keys&gt;&lt;key app="EN" db-id="z2f22ap9xfz95reat5wps20ua5wzwvpxs0ef" timestamp="1771863088"&gt;148&lt;/key&gt;&lt;/foreign-keys&gt;&lt;ref-type name="Journal Article"&gt;17&lt;/ref-type&gt;&lt;contributors&gt;&lt;authors&gt;&lt;author&gt;Fu, Liwen&lt;/author&gt;&lt;author&gt;Wang, Pengcheng&lt;/author&gt;&lt;author&gt;Xiong, Yan&lt;/author&gt;&lt;/authors&gt;&lt;/contributors&gt;&lt;titles&gt;&lt;title&gt;Target of rapamycin signaling in plant stress responses&lt;/title&gt;&lt;secondary-title&gt;Plant Physiology&lt;/secondary-title&gt;&lt;/titles&gt;&lt;periodical&gt;&lt;full-title&gt;Plant physiology&lt;/full-title&gt;&lt;/periodical&gt;&lt;pages&gt;1613-1623&lt;/pages&gt;&lt;volume&gt;182&lt;/volume&gt;&lt;number&gt;4&lt;/number&gt;&lt;dates&gt;&lt;year&gt;2020&lt;/year&gt;&lt;/dates&gt;&lt;isbn&gt;1532-2548&lt;/isbn&gt;&lt;urls&gt;&lt;/urls&gt;&lt;/record&gt;&lt;/Cite&gt;&lt;/EndNote&gt;</w:instrText>
      </w:r>
      <w:r w:rsidRPr="003C264C">
        <w:rPr>
          <w:sz w:val="22"/>
          <w:szCs w:val="22"/>
        </w:rPr>
        <w:fldChar w:fldCharType="separate"/>
      </w:r>
      <w:r w:rsidRPr="003C264C">
        <w:rPr>
          <w:sz w:val="22"/>
          <w:szCs w:val="22"/>
        </w:rPr>
        <w:t>(7)</w:t>
      </w:r>
      <w:r w:rsidRPr="003C264C">
        <w:rPr>
          <w:sz w:val="22"/>
          <w:szCs w:val="22"/>
        </w:rPr>
        <w:fldChar w:fldCharType="end"/>
      </w:r>
      <w:r w:rsidRPr="003C264C">
        <w:rPr>
          <w:sz w:val="22"/>
          <w:szCs w:val="22"/>
        </w:rPr>
        <w:t>. This is supported most directly by PARL1 (</w:t>
      </w:r>
      <w:proofErr w:type="spellStart"/>
      <w:r w:rsidRPr="003C264C">
        <w:rPr>
          <w:sz w:val="22"/>
          <w:szCs w:val="22"/>
        </w:rPr>
        <w:t>nucleolin</w:t>
      </w:r>
      <w:proofErr w:type="spellEnd"/>
      <w:r w:rsidRPr="003C264C">
        <w:rPr>
          <w:sz w:val="22"/>
          <w:szCs w:val="22"/>
        </w:rPr>
        <w:t xml:space="preserve">) </w:t>
      </w:r>
      <w:r w:rsidRPr="003C264C">
        <w:rPr>
          <w:sz w:val="22"/>
          <w:szCs w:val="22"/>
        </w:rPr>
        <w:fldChar w:fldCharType="begin"/>
      </w:r>
      <w:r>
        <w:rPr>
          <w:sz w:val="22"/>
          <w:szCs w:val="22"/>
        </w:rPr>
        <w:instrText xml:space="preserve"> ADDIN EN.CITE &lt;EndNote&gt;&lt;Cite&gt;&lt;Author&gt;Scarpin&lt;/Author&gt;&lt;Year&gt;2020&lt;/Year&gt;&lt;RecNum&gt;127&lt;/RecNum&gt;&lt;DisplayText&gt;(8)&lt;/DisplayText&gt;&lt;record&gt;&lt;rec-number&gt;127&lt;/rec-number&gt;&lt;foreign-keys&gt;&lt;key app="EN" db-id="z2f22ap9xfz95reat5wps20ua5wzwvpxs0ef" timestamp="1771306992"&gt;127&lt;/key&gt;&lt;/foreign-keys&gt;&lt;ref-type name="Journal Article"&gt;17&lt;/ref-type&gt;&lt;contributors&gt;&lt;authors&gt;&lt;author&gt;Scarpin, M Regina&lt;/author&gt;&lt;author&gt;Leiboff, Samuel&lt;/author&gt;&lt;author&gt;Brunkard, Jacob O&lt;/author&gt;&lt;/authors&gt;&lt;/contributors&gt;&lt;titles&gt;&lt;title&gt;Parallel global profiling of plant TOR dynamics reveals a conserved role for LARP1 in translation&lt;/title&gt;&lt;secondary-title&gt;Elife&lt;/secondary-title&gt;&lt;/titles&gt;&lt;periodical&gt;&lt;full-title&gt;Elife&lt;/full-title&gt;&lt;/periodical&gt;&lt;pages&gt;e58795&lt;/pages&gt;&lt;volume&gt;9&lt;/volume&gt;&lt;dates&gt;&lt;year&gt;2020&lt;/year&gt;&lt;/dates&gt;&lt;isbn&gt;2050-084X&lt;/isbn&gt;&lt;urls&gt;&lt;/urls&gt;&lt;/record&gt;&lt;/Cite&gt;&lt;/EndNote&gt;</w:instrText>
      </w:r>
      <w:r w:rsidRPr="003C264C">
        <w:rPr>
          <w:sz w:val="22"/>
          <w:szCs w:val="22"/>
        </w:rPr>
        <w:fldChar w:fldCharType="separate"/>
      </w:r>
      <w:r>
        <w:rPr>
          <w:noProof/>
          <w:sz w:val="22"/>
          <w:szCs w:val="22"/>
        </w:rPr>
        <w:t>(8)</w:t>
      </w:r>
      <w:r w:rsidRPr="003C264C">
        <w:rPr>
          <w:sz w:val="22"/>
          <w:szCs w:val="22"/>
        </w:rPr>
        <w:fldChar w:fldCharType="end"/>
      </w:r>
      <w:r w:rsidRPr="003C264C">
        <w:rPr>
          <w:sz w:val="22"/>
          <w:szCs w:val="22"/>
        </w:rPr>
        <w:t xml:space="preserve">, because global TOR profiling shows TOR control of ribosome biogenesis/translation and related </w:t>
      </w:r>
      <w:proofErr w:type="spellStart"/>
      <w:r w:rsidRPr="003C264C">
        <w:rPr>
          <w:sz w:val="22"/>
          <w:szCs w:val="22"/>
        </w:rPr>
        <w:t>phosphoregulation</w:t>
      </w:r>
      <w:proofErr w:type="spellEnd"/>
      <w:r w:rsidRPr="003C264C">
        <w:rPr>
          <w:sz w:val="22"/>
          <w:szCs w:val="22"/>
        </w:rPr>
        <w:t xml:space="preserve">. and by stress-response nodes (MSD1-1/Mn-SOD1, OXS2-2, BZIP60, SEN1) along with trafficking/signaling and energy-adjustment components (RABA1c-1, PAK-1, PBE1/PDH-E1β, LHCB6) that reflect the known shift from growth to stress adaptation as TOR activity declines. Cluster 15 captures </w:t>
      </w:r>
      <w:proofErr w:type="spellStart"/>
      <w:r w:rsidRPr="003C264C">
        <w:rPr>
          <w:sz w:val="22"/>
          <w:szCs w:val="22"/>
        </w:rPr>
        <w:t>signalling</w:t>
      </w:r>
      <w:proofErr w:type="spellEnd"/>
      <w:r w:rsidRPr="003C264C">
        <w:rPr>
          <w:sz w:val="22"/>
          <w:szCs w:val="22"/>
        </w:rPr>
        <w:t xml:space="preserve"> and regulatory modules operating at the interface between TOR and stress or hormone pathways. ABA repression of TOR via </w:t>
      </w:r>
      <w:proofErr w:type="spellStart"/>
      <w:r w:rsidRPr="003C264C">
        <w:rPr>
          <w:sz w:val="22"/>
          <w:szCs w:val="22"/>
        </w:rPr>
        <w:t>SnRK</w:t>
      </w:r>
      <w:proofErr w:type="spellEnd"/>
      <w:r w:rsidRPr="003C264C">
        <w:rPr>
          <w:sz w:val="22"/>
          <w:szCs w:val="22"/>
        </w:rPr>
        <w:t xml:space="preserve"> signaling is experimentally demonstrated </w:t>
      </w:r>
      <w:r w:rsidRPr="003C264C">
        <w:rPr>
          <w:sz w:val="22"/>
          <w:szCs w:val="22"/>
        </w:rPr>
        <w:fldChar w:fldCharType="begin"/>
      </w:r>
      <w:r>
        <w:rPr>
          <w:sz w:val="22"/>
          <w:szCs w:val="22"/>
        </w:rPr>
        <w:instrText xml:space="preserve"> ADDIN EN.CITE &lt;EndNote&gt;&lt;Cite&gt;&lt;Author&gt;Belda-Palazón&lt;/Author&gt;&lt;Year&gt;2022&lt;/Year&gt;&lt;RecNum&gt;149&lt;/RecNum&gt;&lt;DisplayText&gt;(9)&lt;/DisplayText&gt;&lt;record&gt;&lt;rec-number&gt;149&lt;/rec-number&gt;&lt;foreign-keys&gt;&lt;key app="EN" db-id="z2f22ap9xfz95reat5wps20ua5wzwvpxs0ef" timestamp="1771863301"&gt;149&lt;/key&gt;&lt;/foreign-keys&gt;&lt;ref-type name="Journal Article"&gt;17&lt;/ref-type&gt;&lt;contributors&gt;&lt;authors&gt;&lt;author&gt;Belda-Palazón, Borja&lt;/author&gt;&lt;author&gt;Costa, Mónica&lt;/author&gt;&lt;author&gt;Beeckman, Tom&lt;/author&gt;&lt;author&gt;Rolland, Filip&lt;/author&gt;&lt;author&gt;Baena-González, Elena&lt;/author&gt;&lt;/authors&gt;&lt;/contributors&gt;&lt;titles&gt;&lt;title&gt;ABA represses TOR and root meristem activity through nuclear exit of the SnRK1 kinase&lt;/title&gt;&lt;secondary-title&gt;Proceedings of the National Academy of Sciences&lt;/secondary-title&gt;&lt;/titles&gt;&lt;periodical&gt;&lt;full-title&gt;Proceedings of the National Academy of Sciences&lt;/full-title&gt;&lt;/periodical&gt;&lt;pages&gt;e2204862119&lt;/pages&gt;&lt;volume&gt;119&lt;/volume&gt;&lt;number&gt;28&lt;/number&gt;&lt;dates&gt;&lt;year&gt;2022&lt;/year&gt;&lt;/dates&gt;&lt;isbn&gt;0027-8424&lt;/isbn&gt;&lt;urls&gt;&lt;/urls&gt;&lt;/record&gt;&lt;/Cite&gt;&lt;/EndNote&gt;</w:instrText>
      </w:r>
      <w:r w:rsidRPr="003C264C">
        <w:rPr>
          <w:sz w:val="22"/>
          <w:szCs w:val="22"/>
        </w:rPr>
        <w:fldChar w:fldCharType="separate"/>
      </w:r>
      <w:r>
        <w:rPr>
          <w:noProof/>
          <w:sz w:val="22"/>
          <w:szCs w:val="22"/>
        </w:rPr>
        <w:t>(9)</w:t>
      </w:r>
      <w:r w:rsidRPr="003C264C">
        <w:rPr>
          <w:sz w:val="22"/>
          <w:szCs w:val="22"/>
        </w:rPr>
        <w:fldChar w:fldCharType="end"/>
      </w:r>
      <w:r w:rsidRPr="003C264C">
        <w:rPr>
          <w:sz w:val="22"/>
          <w:szCs w:val="22"/>
        </w:rPr>
        <w:t xml:space="preserve"> and CIPK modules can inhibit TOR through RAPTOR-centered control under stress </w:t>
      </w:r>
      <w:r w:rsidRPr="003C264C">
        <w:rPr>
          <w:sz w:val="22"/>
          <w:szCs w:val="22"/>
        </w:rPr>
        <w:fldChar w:fldCharType="begin"/>
      </w:r>
      <w:r>
        <w:rPr>
          <w:sz w:val="22"/>
          <w:szCs w:val="22"/>
        </w:rPr>
        <w:instrText xml:space="preserve"> ADDIN EN.CITE &lt;EndNote&gt;&lt;Cite&gt;&lt;Author&gt;Li&lt;/Author&gt;&lt;Year&gt;2025&lt;/Year&gt;&lt;RecNum&gt;150&lt;/RecNum&gt;&lt;DisplayText&gt;(10)&lt;/DisplayText&gt;&lt;record&gt;&lt;rec-number&gt;150&lt;/rec-number&gt;&lt;foreign-keys&gt;&lt;key app="EN" db-id="z2f22ap9xfz95reat5wps20ua5wzwvpxs0ef" timestamp="1771863362"&gt;150&lt;/key&gt;&lt;/foreign-keys&gt;&lt;ref-type name="Journal Article"&gt;17&lt;/ref-type&gt;&lt;contributors&gt;&lt;authors&gt;&lt;author&gt;Li, Kun-Lun&lt;/author&gt;&lt;author&gt;Xue, Hui&lt;/author&gt;&lt;author&gt;Tang, Ren-Jie&lt;/author&gt;&lt;author&gt;Luan, Sheng&lt;/author&gt;&lt;/authors&gt;&lt;/contributors&gt;&lt;titles&gt;&lt;title&gt;A calcium sensor kinase pathway interacts with the TOR complex to balance growth and salt tolerance in Arabidopsis&lt;/title&gt;&lt;secondary-title&gt;The Plant Cell&lt;/secondary-title&gt;&lt;/titles&gt;&lt;periodical&gt;&lt;full-title&gt;The Plant Cell&lt;/full-title&gt;&lt;/periodical&gt;&lt;pages&gt;koaf103&lt;/pages&gt;&lt;volume&gt;37&lt;/volume&gt;&lt;number&gt;7&lt;/number&gt;&lt;dates&gt;&lt;year&gt;2025&lt;/year&gt;&lt;/dates&gt;&lt;isbn&gt;1040-4651&lt;/isbn&gt;&lt;urls&gt;&lt;/urls&gt;&lt;/record&gt;&lt;/Cite&gt;&lt;/EndNote&gt;</w:instrText>
      </w:r>
      <w:r w:rsidRPr="003C264C">
        <w:rPr>
          <w:sz w:val="22"/>
          <w:szCs w:val="22"/>
        </w:rPr>
        <w:fldChar w:fldCharType="separate"/>
      </w:r>
      <w:r>
        <w:rPr>
          <w:noProof/>
          <w:sz w:val="22"/>
          <w:szCs w:val="22"/>
        </w:rPr>
        <w:t>(10)</w:t>
      </w:r>
      <w:r w:rsidRPr="003C264C">
        <w:rPr>
          <w:sz w:val="22"/>
          <w:szCs w:val="22"/>
        </w:rPr>
        <w:fldChar w:fldCharType="end"/>
      </w:r>
      <w:r w:rsidRPr="003C264C">
        <w:rPr>
          <w:sz w:val="22"/>
          <w:szCs w:val="22"/>
        </w:rPr>
        <w:t xml:space="preserve">, providing direct mechanistic context for ABF1, SnRK3.17 (CIPK), SK32, MPK20, and upstream signaling modulators (PTEN2A-1, LSB1). Importantly, TOR is a conserved negative regulator of autophagy </w:t>
      </w:r>
      <w:r w:rsidRPr="003C264C">
        <w:rPr>
          <w:sz w:val="22"/>
          <w:szCs w:val="22"/>
        </w:rPr>
        <w:fldChar w:fldCharType="begin"/>
      </w:r>
      <w:r>
        <w:rPr>
          <w:sz w:val="22"/>
          <w:szCs w:val="22"/>
        </w:rPr>
        <w:instrText xml:space="preserve"> ADDIN EN.CITE &lt;EndNote&gt;&lt;Cite&gt;&lt;Author&gt;Liu&lt;/Author&gt;&lt;Year&gt;2010&lt;/Year&gt;&lt;RecNum&gt;151&lt;/RecNum&gt;&lt;DisplayText&gt;(11)&lt;/DisplayText&gt;&lt;record&gt;&lt;rec-number&gt;151&lt;/rec-number&gt;&lt;foreign-keys&gt;&lt;key app="EN" db-id="z2f22ap9xfz95reat5wps20ua5wzwvpxs0ef" timestamp="1771863443"&gt;151&lt;/key&gt;&lt;/foreign-keys&gt;&lt;ref-type name="Journal Article"&gt;17&lt;/ref-type&gt;&lt;contributors&gt;&lt;authors&gt;&lt;author&gt;Liu, Yimo&lt;/author&gt;&lt;author&gt;Bassham, Diane C&lt;/author&gt;&lt;/authors&gt;&lt;/contributors&gt;&lt;titles&gt;&lt;title&gt;TOR is a negative regulator of autophagy in Arabidopsis thaliana&lt;/title&gt;&lt;secondary-title&gt;PLoS One&lt;/secondary-title&gt;&lt;/titles&gt;&lt;periodical&gt;&lt;full-title&gt;PLoS One&lt;/full-title&gt;&lt;/periodical&gt;&lt;pages&gt;e11883&lt;/pages&gt;&lt;volume&gt;5&lt;/volume&gt;&lt;number&gt;7&lt;/number&gt;&lt;dates&gt;&lt;year&gt;2010&lt;/year&gt;&lt;/dates&gt;&lt;isbn&gt;1932-6203&lt;/isbn&gt;&lt;urls&gt;&lt;/urls&gt;&lt;/record&gt;&lt;/Cite&gt;&lt;/EndNote&gt;</w:instrText>
      </w:r>
      <w:r w:rsidRPr="003C264C">
        <w:rPr>
          <w:sz w:val="22"/>
          <w:szCs w:val="22"/>
        </w:rPr>
        <w:fldChar w:fldCharType="separate"/>
      </w:r>
      <w:r>
        <w:rPr>
          <w:noProof/>
          <w:sz w:val="22"/>
          <w:szCs w:val="22"/>
        </w:rPr>
        <w:t>(11)</w:t>
      </w:r>
      <w:r w:rsidRPr="003C264C">
        <w:rPr>
          <w:sz w:val="22"/>
          <w:szCs w:val="22"/>
        </w:rPr>
        <w:fldChar w:fldCharType="end"/>
      </w:r>
      <w:r w:rsidRPr="003C264C">
        <w:rPr>
          <w:sz w:val="22"/>
          <w:szCs w:val="22"/>
        </w:rPr>
        <w:t xml:space="preserve"> , and the selective autophagy receptor NBR1 is documented as a functional plant selective-autophagy/ABA-related cargo receptor </w:t>
      </w:r>
      <w:r w:rsidRPr="003C264C">
        <w:rPr>
          <w:sz w:val="22"/>
          <w:szCs w:val="22"/>
        </w:rPr>
        <w:fldChar w:fldCharType="begin"/>
      </w:r>
      <w:r>
        <w:rPr>
          <w:sz w:val="22"/>
          <w:szCs w:val="22"/>
        </w:rPr>
        <w:instrText xml:space="preserve"> ADDIN EN.CITE &lt;EndNote&gt;&lt;Cite&gt;&lt;Author&gt;Tarnowski&lt;/Author&gt;&lt;Year&gt;2020&lt;/Year&gt;&lt;RecNum&gt;152&lt;/RecNum&gt;&lt;DisplayText&gt;(12)&lt;/DisplayText&gt;&lt;record&gt;&lt;rec-number&gt;152&lt;/rec-number&gt;&lt;foreign-keys&gt;&lt;key app="EN" db-id="z2f22ap9xfz95reat5wps20ua5wzwvpxs0ef" timestamp="1771863512"&gt;152&lt;/key&gt;&lt;/foreign-keys&gt;&lt;ref-type name="Journal Article"&gt;17&lt;/ref-type&gt;&lt;contributors&gt;&lt;authors&gt;&lt;author&gt;Tarnowski, Leszek&lt;/author&gt;&lt;author&gt;Rodriguez, Milagros Collados&lt;/author&gt;&lt;author&gt;Brzywczy, Jerzy&lt;/author&gt;&lt;author&gt;Piecho-Kabacik, Marta&lt;/author&gt;&lt;author&gt;Krčkova, Zuzana&lt;/author&gt;&lt;author&gt;Martinec, Jan&lt;/author&gt;&lt;author&gt;Wawrzynska, Anna&lt;/author&gt;&lt;author&gt;Sirko, Agnieszka&lt;/author&gt;&lt;/authors&gt;&lt;/contributors&gt;&lt;titles&gt;&lt;title&gt;A selective autophagy cargo receptor NBR1 modulates abscisic acid signalling in Arabidopsis thaliana&lt;/title&gt;&lt;secondary-title&gt;Scientific Reports&lt;/secondary-title&gt;&lt;/titles&gt;&lt;periodical&gt;&lt;full-title&gt;Scientific Reports&lt;/full-title&gt;&lt;/periodical&gt;&lt;pages&gt;7778&lt;/pages&gt;&lt;volume&gt;10&lt;/volume&gt;&lt;number&gt;1&lt;/number&gt;&lt;dates&gt;&lt;year&gt;2020&lt;/year&gt;&lt;/dates&gt;&lt;isbn&gt;2045-2322&lt;/isbn&gt;&lt;urls&gt;&lt;/urls&gt;&lt;/record&gt;&lt;/Cite&gt;&lt;/EndNote&gt;</w:instrText>
      </w:r>
      <w:r w:rsidRPr="003C264C">
        <w:rPr>
          <w:sz w:val="22"/>
          <w:szCs w:val="22"/>
        </w:rPr>
        <w:fldChar w:fldCharType="separate"/>
      </w:r>
      <w:r>
        <w:rPr>
          <w:noProof/>
          <w:sz w:val="22"/>
          <w:szCs w:val="22"/>
        </w:rPr>
        <w:t>(12)</w:t>
      </w:r>
      <w:r w:rsidRPr="003C264C">
        <w:rPr>
          <w:sz w:val="22"/>
          <w:szCs w:val="22"/>
        </w:rPr>
        <w:fldChar w:fldCharType="end"/>
      </w:r>
      <w:r w:rsidRPr="003C264C">
        <w:rPr>
          <w:sz w:val="22"/>
          <w:szCs w:val="22"/>
        </w:rPr>
        <w:t>, consistent with our observation that autophagy-linked downstream effectors cluster with stress-signaling kinases; together with chromatin-linked regulation (TET2), Cluster 15 reflects the TOR-off state’s coordinated transcriptional and degradative remodeling. Collectively, the cluster structure supports a biologically coherent separation between TOR-associated anabolic growth functions and TOR-repressed stress and autophagy pathways.</w:t>
      </w:r>
    </w:p>
    <w:p w14:paraId="353D3831" w14:textId="77777777" w:rsidR="002B285A" w:rsidRDefault="002B285A" w:rsidP="003C264C">
      <w:pPr>
        <w:spacing w:before="240"/>
        <w:jc w:val="both"/>
        <w:rPr>
          <w:sz w:val="22"/>
          <w:szCs w:val="22"/>
        </w:rPr>
      </w:pPr>
    </w:p>
    <w:p w14:paraId="73426008" w14:textId="685A3165" w:rsidR="00EA74BC" w:rsidRPr="002B285A" w:rsidRDefault="002B285A" w:rsidP="002B285A">
      <w:pPr>
        <w:jc w:val="both"/>
        <w:rPr>
          <w:b/>
          <w:bCs/>
        </w:rPr>
      </w:pPr>
      <w:r w:rsidRPr="004962C3">
        <w:rPr>
          <w:b/>
          <w:bCs/>
        </w:rPr>
        <w:t>Reference</w:t>
      </w:r>
    </w:p>
    <w:p w14:paraId="63AB8B29" w14:textId="77777777" w:rsidR="003C264C" w:rsidRPr="003C264C" w:rsidRDefault="00EA74BC" w:rsidP="003C264C">
      <w:pPr>
        <w:pStyle w:val="EndNoteBibliography"/>
        <w:rPr>
          <w:noProof/>
        </w:rPr>
      </w:pPr>
      <w:r>
        <w:rPr>
          <w:sz w:val="22"/>
          <w:szCs w:val="22"/>
        </w:rPr>
        <w:fldChar w:fldCharType="begin"/>
      </w:r>
      <w:r>
        <w:rPr>
          <w:sz w:val="22"/>
          <w:szCs w:val="22"/>
        </w:rPr>
        <w:instrText xml:space="preserve"> ADDIN EN.REFLIST </w:instrText>
      </w:r>
      <w:r>
        <w:rPr>
          <w:sz w:val="22"/>
          <w:szCs w:val="22"/>
        </w:rPr>
        <w:fldChar w:fldCharType="separate"/>
      </w:r>
      <w:r w:rsidR="003C264C" w:rsidRPr="003C264C">
        <w:rPr>
          <w:noProof/>
        </w:rPr>
        <w:t>1.</w:t>
      </w:r>
      <w:r w:rsidR="003C264C" w:rsidRPr="003C264C">
        <w:rPr>
          <w:noProof/>
        </w:rPr>
        <w:tab/>
        <w:t>Shi L, Wu Y, Sheen J. TOR signaling in plants: conservation and innovation. Development. 2018;145(13):dev160887.</w:t>
      </w:r>
    </w:p>
    <w:p w14:paraId="72EADD03" w14:textId="77777777" w:rsidR="003C264C" w:rsidRPr="003C264C" w:rsidRDefault="003C264C" w:rsidP="003C264C">
      <w:pPr>
        <w:pStyle w:val="EndNoteBibliography"/>
        <w:rPr>
          <w:noProof/>
        </w:rPr>
      </w:pPr>
      <w:r w:rsidRPr="003C264C">
        <w:rPr>
          <w:noProof/>
        </w:rPr>
        <w:lastRenderedPageBreak/>
        <w:t>2.</w:t>
      </w:r>
      <w:r w:rsidRPr="003C264C">
        <w:rPr>
          <w:noProof/>
        </w:rPr>
        <w:tab/>
        <w:t>Demura T, Tashiro G, Horiguchi G, Kishimoto N, Kubo M, Matsuoka N, et al. Visualization by comprehensive microarray analysis of gene expression programs during transdifferentiation of mesophyll cells into xylem cells. Proceedings of the National Academy of Sciences. 2002;99(24):15794-9.</w:t>
      </w:r>
    </w:p>
    <w:p w14:paraId="46445F29" w14:textId="77777777" w:rsidR="003C264C" w:rsidRPr="003C264C" w:rsidRDefault="003C264C" w:rsidP="003C264C">
      <w:pPr>
        <w:pStyle w:val="EndNoteBibliography"/>
        <w:rPr>
          <w:noProof/>
        </w:rPr>
      </w:pPr>
      <w:r w:rsidRPr="003C264C">
        <w:rPr>
          <w:noProof/>
        </w:rPr>
        <w:t>3.</w:t>
      </w:r>
      <w:r w:rsidRPr="003C264C">
        <w:rPr>
          <w:noProof/>
        </w:rPr>
        <w:tab/>
        <w:t>Liu G, Zhang G, Wu Z, Lu W, Lin Y, Wang C, et al. Comparative proteomic analysis provides insights into wood formation in immature xylem at different ages in Eucalyptus urophylla× Eucalyptus grandis. Frontiers in Plant Science. 2024;15:1431164.</w:t>
      </w:r>
    </w:p>
    <w:p w14:paraId="066CCF1C" w14:textId="77777777" w:rsidR="003C264C" w:rsidRPr="003C264C" w:rsidRDefault="003C264C" w:rsidP="003C264C">
      <w:pPr>
        <w:pStyle w:val="EndNoteBibliography"/>
        <w:rPr>
          <w:noProof/>
        </w:rPr>
      </w:pPr>
      <w:r w:rsidRPr="003C264C">
        <w:rPr>
          <w:noProof/>
        </w:rPr>
        <w:t>4.</w:t>
      </w:r>
      <w:r w:rsidRPr="003C264C">
        <w:rPr>
          <w:noProof/>
        </w:rPr>
        <w:tab/>
        <w:t>Ren M, Venglat P, Qiu S, Feng L, Cao Y, Wang E, et al. Target of rapamycin signaling regulates metabolism, growth, and life span in Arabidopsis. The Plant Cell. 2012;24(12):4850-74.</w:t>
      </w:r>
    </w:p>
    <w:p w14:paraId="4299D4B6" w14:textId="77777777" w:rsidR="003C264C" w:rsidRPr="003C264C" w:rsidRDefault="003C264C" w:rsidP="003C264C">
      <w:pPr>
        <w:pStyle w:val="EndNoteBibliography"/>
        <w:rPr>
          <w:noProof/>
        </w:rPr>
      </w:pPr>
      <w:r w:rsidRPr="003C264C">
        <w:rPr>
          <w:noProof/>
        </w:rPr>
        <w:t>5.</w:t>
      </w:r>
      <w:r w:rsidRPr="003C264C">
        <w:rPr>
          <w:noProof/>
        </w:rPr>
        <w:tab/>
        <w:t>Magaway C, Kim E, Jacinto E. Targeting mTOR and metabolism in cancer: lessons and innovations. Cells. 2019;8(12):1584.</w:t>
      </w:r>
    </w:p>
    <w:p w14:paraId="03DF6499" w14:textId="77777777" w:rsidR="003C264C" w:rsidRPr="003C264C" w:rsidRDefault="003C264C" w:rsidP="003C264C">
      <w:pPr>
        <w:pStyle w:val="EndNoteBibliography"/>
        <w:rPr>
          <w:noProof/>
        </w:rPr>
      </w:pPr>
      <w:r w:rsidRPr="003C264C">
        <w:rPr>
          <w:noProof/>
        </w:rPr>
        <w:t>6.</w:t>
      </w:r>
      <w:r w:rsidRPr="003C264C">
        <w:rPr>
          <w:noProof/>
        </w:rPr>
        <w:tab/>
        <w:t>Cheng Y-J, Shang G-D, Xu Z-G, Yu S, Wu L-Y, Zhai D, et al. Cell division in the shoot apical meristem is a trigger for miR156 decline and vegetative phase transition in Arabidopsis. Proceedings of the National Academy of Sciences. 2021;118(46):e2115667118.</w:t>
      </w:r>
    </w:p>
    <w:p w14:paraId="2C325C68" w14:textId="77777777" w:rsidR="003C264C" w:rsidRPr="003C264C" w:rsidRDefault="003C264C" w:rsidP="003C264C">
      <w:pPr>
        <w:pStyle w:val="EndNoteBibliography"/>
        <w:rPr>
          <w:noProof/>
        </w:rPr>
      </w:pPr>
      <w:r w:rsidRPr="003C264C">
        <w:rPr>
          <w:noProof/>
        </w:rPr>
        <w:t>7.</w:t>
      </w:r>
      <w:r w:rsidRPr="003C264C">
        <w:rPr>
          <w:noProof/>
        </w:rPr>
        <w:tab/>
        <w:t>Fu L, Wang P, Xiong Y. Target of rapamycin signaling in plant stress responses. Plant Physiology. 2020;182(4):1613-23.</w:t>
      </w:r>
    </w:p>
    <w:p w14:paraId="3135A246" w14:textId="77777777" w:rsidR="003C264C" w:rsidRPr="003C264C" w:rsidRDefault="003C264C" w:rsidP="003C264C">
      <w:pPr>
        <w:pStyle w:val="EndNoteBibliography"/>
        <w:rPr>
          <w:noProof/>
        </w:rPr>
      </w:pPr>
      <w:r w:rsidRPr="003C264C">
        <w:rPr>
          <w:noProof/>
        </w:rPr>
        <w:t>8.</w:t>
      </w:r>
      <w:r w:rsidRPr="003C264C">
        <w:rPr>
          <w:noProof/>
        </w:rPr>
        <w:tab/>
        <w:t>Scarpin MR, Leiboff S, Brunkard JO. Parallel global profiling of plant TOR dynamics reveals a conserved role for LARP1 in translation. Elife. 2020;9:e58795.</w:t>
      </w:r>
    </w:p>
    <w:p w14:paraId="07C9901A" w14:textId="77777777" w:rsidR="003C264C" w:rsidRPr="003C264C" w:rsidRDefault="003C264C" w:rsidP="003C264C">
      <w:pPr>
        <w:pStyle w:val="EndNoteBibliography"/>
        <w:rPr>
          <w:noProof/>
        </w:rPr>
      </w:pPr>
      <w:r w:rsidRPr="003C264C">
        <w:rPr>
          <w:noProof/>
        </w:rPr>
        <w:t>9.</w:t>
      </w:r>
      <w:r w:rsidRPr="003C264C">
        <w:rPr>
          <w:noProof/>
        </w:rPr>
        <w:tab/>
        <w:t>Belda-Palazón B, Costa M, Beeckman T, Rolland F, Baena-González E. ABA represses TOR and root meristem activity through nuclear exit of the SnRK1 kinase. Proceedings of the National Academy of Sciences. 2022;119(28):e2204862119.</w:t>
      </w:r>
    </w:p>
    <w:p w14:paraId="0B69D70A" w14:textId="77777777" w:rsidR="003C264C" w:rsidRPr="003C264C" w:rsidRDefault="003C264C" w:rsidP="003C264C">
      <w:pPr>
        <w:pStyle w:val="EndNoteBibliography"/>
        <w:rPr>
          <w:noProof/>
        </w:rPr>
      </w:pPr>
      <w:r w:rsidRPr="003C264C">
        <w:rPr>
          <w:noProof/>
        </w:rPr>
        <w:t>10.</w:t>
      </w:r>
      <w:r w:rsidRPr="003C264C">
        <w:rPr>
          <w:noProof/>
        </w:rPr>
        <w:tab/>
        <w:t>Li K-L, Xue H, Tang R-J, Luan S. A calcium sensor kinase pathway interacts with the TOR complex to balance growth and salt tolerance in Arabidopsis. The Plant Cell. 2025;37(7):koaf103.</w:t>
      </w:r>
    </w:p>
    <w:p w14:paraId="1A33A667" w14:textId="77777777" w:rsidR="003C264C" w:rsidRPr="003C264C" w:rsidRDefault="003C264C" w:rsidP="003C264C">
      <w:pPr>
        <w:pStyle w:val="EndNoteBibliography"/>
        <w:rPr>
          <w:noProof/>
        </w:rPr>
      </w:pPr>
      <w:r w:rsidRPr="003C264C">
        <w:rPr>
          <w:noProof/>
        </w:rPr>
        <w:t>11.</w:t>
      </w:r>
      <w:r w:rsidRPr="003C264C">
        <w:rPr>
          <w:noProof/>
        </w:rPr>
        <w:tab/>
        <w:t>Liu Y, Bassham DC. TOR is a negative regulator of autophagy in Arabidopsis thaliana. PLoS One. 2010;5(7):e11883.</w:t>
      </w:r>
    </w:p>
    <w:p w14:paraId="2FE7EEDB" w14:textId="77777777" w:rsidR="003C264C" w:rsidRPr="003C264C" w:rsidRDefault="003C264C" w:rsidP="003C264C">
      <w:pPr>
        <w:pStyle w:val="EndNoteBibliography"/>
        <w:rPr>
          <w:noProof/>
        </w:rPr>
      </w:pPr>
      <w:r w:rsidRPr="003C264C">
        <w:rPr>
          <w:noProof/>
        </w:rPr>
        <w:t>12.</w:t>
      </w:r>
      <w:r w:rsidRPr="003C264C">
        <w:rPr>
          <w:noProof/>
        </w:rPr>
        <w:tab/>
        <w:t>Tarnowski L, Rodriguez MC, Brzywczy J, Piecho-Kabacik M, Krčkova Z, Martinec J, et al. A selective autophagy cargo receptor NBR1 modulates abscisic acid signalling in Arabidopsis thaliana. Scientific Reports. 2020;10(1):7778.</w:t>
      </w:r>
    </w:p>
    <w:p w14:paraId="23E848E9" w14:textId="4A837337" w:rsidR="00EA74BC" w:rsidRPr="00EA74BC" w:rsidRDefault="00EA74BC">
      <w:pPr>
        <w:rPr>
          <w:sz w:val="22"/>
          <w:szCs w:val="22"/>
        </w:rPr>
      </w:pPr>
      <w:r>
        <w:rPr>
          <w:sz w:val="22"/>
          <w:szCs w:val="22"/>
        </w:rPr>
        <w:fldChar w:fldCharType="end"/>
      </w:r>
    </w:p>
    <w:sectPr w:rsidR="00EA74BC" w:rsidRPr="00EA7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2f22ap9xfz95reat5wps20ua5wzwvpxs0ef&quot;&gt;PNdtwFE&lt;record-ids&gt;&lt;item&gt;118&lt;/item&gt;&lt;item&gt;123&lt;/item&gt;&lt;item&gt;127&lt;/item&gt;&lt;item&gt;146&lt;/item&gt;&lt;item&gt;148&lt;/item&gt;&lt;item&gt;149&lt;/item&gt;&lt;item&gt;150&lt;/item&gt;&lt;item&gt;151&lt;/item&gt;&lt;item&gt;152&lt;/item&gt;&lt;item&gt;153&lt;/item&gt;&lt;item&gt;154&lt;/item&gt;&lt;item&gt;155&lt;/item&gt;&lt;/record-ids&gt;&lt;/item&gt;&lt;/Libraries&gt;"/>
  </w:docVars>
  <w:rsids>
    <w:rsidRoot w:val="00EA74BC"/>
    <w:rsid w:val="0001681C"/>
    <w:rsid w:val="000942A7"/>
    <w:rsid w:val="000E75C6"/>
    <w:rsid w:val="001D604A"/>
    <w:rsid w:val="00200AB2"/>
    <w:rsid w:val="00214410"/>
    <w:rsid w:val="002B285A"/>
    <w:rsid w:val="002B4DE5"/>
    <w:rsid w:val="003433B1"/>
    <w:rsid w:val="00374A26"/>
    <w:rsid w:val="0038097C"/>
    <w:rsid w:val="003C264C"/>
    <w:rsid w:val="003C5014"/>
    <w:rsid w:val="0044713E"/>
    <w:rsid w:val="0046287D"/>
    <w:rsid w:val="004964D6"/>
    <w:rsid w:val="00507E11"/>
    <w:rsid w:val="00630F47"/>
    <w:rsid w:val="007C5F2A"/>
    <w:rsid w:val="007D34F5"/>
    <w:rsid w:val="007E13F6"/>
    <w:rsid w:val="007E33F8"/>
    <w:rsid w:val="007E4E0A"/>
    <w:rsid w:val="00850310"/>
    <w:rsid w:val="0086210E"/>
    <w:rsid w:val="008B0C1F"/>
    <w:rsid w:val="008C4960"/>
    <w:rsid w:val="00915E35"/>
    <w:rsid w:val="00953F06"/>
    <w:rsid w:val="00A944C9"/>
    <w:rsid w:val="00B968AB"/>
    <w:rsid w:val="00C143F6"/>
    <w:rsid w:val="00CA2E71"/>
    <w:rsid w:val="00CA6D43"/>
    <w:rsid w:val="00D233BF"/>
    <w:rsid w:val="00D541E2"/>
    <w:rsid w:val="00D569E5"/>
    <w:rsid w:val="00D70352"/>
    <w:rsid w:val="00DB0C52"/>
    <w:rsid w:val="00E06286"/>
    <w:rsid w:val="00EA16C0"/>
    <w:rsid w:val="00EA74BC"/>
    <w:rsid w:val="00EB7349"/>
    <w:rsid w:val="00F037F3"/>
    <w:rsid w:val="00F06926"/>
    <w:rsid w:val="00F73828"/>
    <w:rsid w:val="00FD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40DDC"/>
  <w15:chartTrackingRefBased/>
  <w15:docId w15:val="{901352DA-8C81-9041-B05D-A07EA27C2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4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7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4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4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4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4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4BC"/>
    <w:rPr>
      <w:rFonts w:eastAsiaTheme="majorEastAsia" w:cstheme="majorBidi"/>
      <w:color w:val="272727" w:themeColor="text1" w:themeTint="D8"/>
    </w:rPr>
  </w:style>
  <w:style w:type="paragraph" w:styleId="Title">
    <w:name w:val="Title"/>
    <w:basedOn w:val="Normal"/>
    <w:next w:val="Normal"/>
    <w:link w:val="TitleChar"/>
    <w:uiPriority w:val="10"/>
    <w:qFormat/>
    <w:rsid w:val="00EA74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4BC"/>
    <w:pPr>
      <w:spacing w:before="160"/>
      <w:jc w:val="center"/>
    </w:pPr>
    <w:rPr>
      <w:i/>
      <w:iCs/>
      <w:color w:val="404040" w:themeColor="text1" w:themeTint="BF"/>
    </w:rPr>
  </w:style>
  <w:style w:type="character" w:customStyle="1" w:styleId="QuoteChar">
    <w:name w:val="Quote Char"/>
    <w:basedOn w:val="DefaultParagraphFont"/>
    <w:link w:val="Quote"/>
    <w:uiPriority w:val="29"/>
    <w:rsid w:val="00EA74BC"/>
    <w:rPr>
      <w:i/>
      <w:iCs/>
      <w:color w:val="404040" w:themeColor="text1" w:themeTint="BF"/>
    </w:rPr>
  </w:style>
  <w:style w:type="paragraph" w:styleId="ListParagraph">
    <w:name w:val="List Paragraph"/>
    <w:basedOn w:val="Normal"/>
    <w:uiPriority w:val="34"/>
    <w:qFormat/>
    <w:rsid w:val="00EA74BC"/>
    <w:pPr>
      <w:ind w:left="720"/>
      <w:contextualSpacing/>
    </w:pPr>
  </w:style>
  <w:style w:type="character" w:styleId="IntenseEmphasis">
    <w:name w:val="Intense Emphasis"/>
    <w:basedOn w:val="DefaultParagraphFont"/>
    <w:uiPriority w:val="21"/>
    <w:qFormat/>
    <w:rsid w:val="00EA74BC"/>
    <w:rPr>
      <w:i/>
      <w:iCs/>
      <w:color w:val="0F4761" w:themeColor="accent1" w:themeShade="BF"/>
    </w:rPr>
  </w:style>
  <w:style w:type="paragraph" w:styleId="IntenseQuote">
    <w:name w:val="Intense Quote"/>
    <w:basedOn w:val="Normal"/>
    <w:next w:val="Normal"/>
    <w:link w:val="IntenseQuoteChar"/>
    <w:uiPriority w:val="30"/>
    <w:qFormat/>
    <w:rsid w:val="00EA7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BC"/>
    <w:rPr>
      <w:i/>
      <w:iCs/>
      <w:color w:val="0F4761" w:themeColor="accent1" w:themeShade="BF"/>
    </w:rPr>
  </w:style>
  <w:style w:type="character" w:styleId="IntenseReference">
    <w:name w:val="Intense Reference"/>
    <w:basedOn w:val="DefaultParagraphFont"/>
    <w:uiPriority w:val="32"/>
    <w:qFormat/>
    <w:rsid w:val="00EA74BC"/>
    <w:rPr>
      <w:b/>
      <w:bCs/>
      <w:smallCaps/>
      <w:color w:val="0F4761" w:themeColor="accent1" w:themeShade="BF"/>
      <w:spacing w:val="5"/>
    </w:rPr>
  </w:style>
  <w:style w:type="paragraph" w:customStyle="1" w:styleId="MDPI13authornames">
    <w:name w:val="MDPI_1.3_authornames"/>
    <w:next w:val="Normal"/>
    <w:qFormat/>
    <w:rsid w:val="00EA74BC"/>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6affiliation">
    <w:name w:val="MDPI_1.6_affiliation"/>
    <w:qFormat/>
    <w:rsid w:val="00EA74BC"/>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EndNoteBibliographyTitle">
    <w:name w:val="EndNote Bibliography Title"/>
    <w:basedOn w:val="Normal"/>
    <w:link w:val="EndNoteBibliographyTitleChar"/>
    <w:rsid w:val="00EA74BC"/>
    <w:pPr>
      <w:jc w:val="center"/>
    </w:pPr>
  </w:style>
  <w:style w:type="character" w:customStyle="1" w:styleId="EndNoteBibliographyTitleChar">
    <w:name w:val="EndNote Bibliography Title Char"/>
    <w:basedOn w:val="DefaultParagraphFont"/>
    <w:link w:val="EndNoteBibliographyTitle"/>
    <w:rsid w:val="00EA74BC"/>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EA74BC"/>
  </w:style>
  <w:style w:type="character" w:customStyle="1" w:styleId="EndNoteBibliographyChar">
    <w:name w:val="EndNote Bibliography Char"/>
    <w:basedOn w:val="DefaultParagraphFont"/>
    <w:link w:val="EndNoteBibliography"/>
    <w:rsid w:val="00EA74BC"/>
    <w:rPr>
      <w:rFonts w:ascii="Times New Roman" w:eastAsia="Times New Roman" w:hAnsi="Times New Roman" w:cs="Times New Roman"/>
      <w:kern w:val="0"/>
      <w14:ligatures w14:val="none"/>
    </w:rPr>
  </w:style>
  <w:style w:type="table" w:styleId="TableGrid">
    <w:name w:val="Table Grid"/>
    <w:basedOn w:val="TableNormal"/>
    <w:uiPriority w:val="39"/>
    <w:rsid w:val="00EA74BC"/>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Khairul Islam</dc:creator>
  <cp:keywords/>
  <dc:description/>
  <cp:lastModifiedBy>Md Khairul Islam</cp:lastModifiedBy>
  <cp:revision>4</cp:revision>
  <dcterms:created xsi:type="dcterms:W3CDTF">2026-03-03T15:42:00Z</dcterms:created>
  <dcterms:modified xsi:type="dcterms:W3CDTF">2026-03-16T19:24:00Z</dcterms:modified>
</cp:coreProperties>
</file>