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912A" w14:textId="77777777" w:rsidR="00F10690" w:rsidRPr="00892B36" w:rsidRDefault="00F10690" w:rsidP="001339F0">
      <w:pPr>
        <w:jc w:val="center"/>
        <w:rPr>
          <w:rFonts w:ascii="Palatino Linotype" w:eastAsia="Arial" w:hAnsi="Palatino Linotype" w:cs="Arial"/>
          <w:b/>
          <w:color w:val="000000" w:themeColor="text1"/>
          <w:kern w:val="0"/>
          <w:sz w:val="21"/>
          <w:szCs w:val="21"/>
          <w:shd w:val="clear" w:color="auto" w:fill="FFFFFF"/>
          <w:lang w:val="en" w:bidi="en-US"/>
          <w14:ligatures w14:val="none"/>
        </w:rPr>
      </w:pPr>
      <w:bookmarkStart w:id="0" w:name="_Hlk166846869"/>
      <w:r w:rsidRPr="00892B36">
        <w:rPr>
          <w:rFonts w:ascii="Palatino Linotype" w:eastAsia="Arial" w:hAnsi="Palatino Linotype" w:cs="Arial"/>
          <w:b/>
          <w:color w:val="000000" w:themeColor="text1"/>
          <w:kern w:val="0"/>
          <w:sz w:val="21"/>
          <w:szCs w:val="21"/>
          <w:shd w:val="clear" w:color="auto" w:fill="FFFFFF"/>
          <w:lang w:val="en" w:bidi="en-US"/>
          <w14:ligatures w14:val="none"/>
        </w:rPr>
        <w:t>Dynamic Gene Attention Focus (</w:t>
      </w:r>
      <w:proofErr w:type="spellStart"/>
      <w:r w:rsidRPr="00892B36">
        <w:rPr>
          <w:rFonts w:ascii="Palatino Linotype" w:eastAsia="Arial" w:hAnsi="Palatino Linotype" w:cs="Arial"/>
          <w:b/>
          <w:color w:val="000000" w:themeColor="text1"/>
          <w:kern w:val="0"/>
          <w:sz w:val="21"/>
          <w:szCs w:val="21"/>
          <w:shd w:val="clear" w:color="auto" w:fill="FFFFFF"/>
          <w:lang w:val="en" w:bidi="en-US"/>
          <w14:ligatures w14:val="none"/>
        </w:rPr>
        <w:t>DyGAF</w:t>
      </w:r>
      <w:proofErr w:type="spellEnd"/>
      <w:r w:rsidRPr="00892B36">
        <w:rPr>
          <w:rFonts w:ascii="Palatino Linotype" w:eastAsia="Arial" w:hAnsi="Palatino Linotype" w:cs="Arial"/>
          <w:b/>
          <w:color w:val="000000" w:themeColor="text1"/>
          <w:kern w:val="0"/>
          <w:sz w:val="21"/>
          <w:szCs w:val="21"/>
          <w:shd w:val="clear" w:color="auto" w:fill="FFFFFF"/>
          <w:lang w:val="en" w:bidi="en-US"/>
          <w14:ligatures w14:val="none"/>
        </w:rPr>
        <w:t>): Enhancing Biomarker Identification Through Dual-Model Attention Networks</w:t>
      </w:r>
    </w:p>
    <w:p w14:paraId="3A53D180" w14:textId="77777777" w:rsidR="00725184" w:rsidRPr="00892B36" w:rsidRDefault="00725184" w:rsidP="001339F0">
      <w:pPr>
        <w:jc w:val="both"/>
        <w:rPr>
          <w:rFonts w:ascii="Palatino Linotype" w:hAnsi="Palatino Linotype"/>
          <w:color w:val="000000" w:themeColor="text1"/>
          <w:sz w:val="18"/>
          <w:szCs w:val="18"/>
          <w:lang w:val="en"/>
        </w:rPr>
      </w:pPr>
    </w:p>
    <w:p w14:paraId="3C98DBCA" w14:textId="77777777" w:rsidR="00725184" w:rsidRPr="00892B36" w:rsidRDefault="00725184" w:rsidP="001339F0">
      <w:pPr>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lang w:val="en"/>
        </w:rPr>
        <w:t>Md Khairul Islam</w:t>
      </w:r>
      <w:r w:rsidRPr="00892B36">
        <w:rPr>
          <w:rFonts w:ascii="Palatino Linotype" w:hAnsi="Palatino Linotype"/>
          <w:color w:val="000000" w:themeColor="text1"/>
          <w:sz w:val="18"/>
          <w:szCs w:val="18"/>
          <w:vertAlign w:val="superscript"/>
          <w:lang w:val="en"/>
        </w:rPr>
        <w:t>1,3</w:t>
      </w:r>
      <w:r w:rsidRPr="00892B36">
        <w:rPr>
          <w:rFonts w:ascii="Palatino Linotype" w:hAnsi="Palatino Linotype"/>
          <w:color w:val="000000" w:themeColor="text1"/>
          <w:sz w:val="18"/>
          <w:szCs w:val="18"/>
          <w:lang w:val="en"/>
        </w:rPr>
        <w:t>, Himanshu Wagh</w:t>
      </w:r>
      <w:r w:rsidRPr="00892B36">
        <w:rPr>
          <w:rFonts w:ascii="Palatino Linotype" w:hAnsi="Palatino Linotype"/>
          <w:color w:val="000000" w:themeColor="text1"/>
          <w:sz w:val="18"/>
          <w:szCs w:val="18"/>
          <w:vertAlign w:val="superscript"/>
          <w:lang w:val="en"/>
        </w:rPr>
        <w:t>2</w:t>
      </w:r>
      <w:r w:rsidRPr="00892B36">
        <w:rPr>
          <w:rFonts w:ascii="Palatino Linotype" w:hAnsi="Palatino Linotype"/>
          <w:color w:val="000000" w:themeColor="text1"/>
          <w:sz w:val="18"/>
          <w:szCs w:val="18"/>
          <w:lang w:val="en"/>
        </w:rPr>
        <w:t xml:space="preserve"> and </w:t>
      </w:r>
      <w:proofErr w:type="spellStart"/>
      <w:r w:rsidRPr="00892B36">
        <w:rPr>
          <w:rFonts w:ascii="Palatino Linotype" w:hAnsi="Palatino Linotype"/>
          <w:color w:val="000000" w:themeColor="text1"/>
          <w:sz w:val="18"/>
          <w:szCs w:val="18"/>
          <w:lang w:val="en"/>
        </w:rPr>
        <w:t>Hairong</w:t>
      </w:r>
      <w:proofErr w:type="spellEnd"/>
      <w:r w:rsidRPr="00892B36">
        <w:rPr>
          <w:rFonts w:ascii="Palatino Linotype" w:hAnsi="Palatino Linotype"/>
          <w:color w:val="000000" w:themeColor="text1"/>
          <w:sz w:val="18"/>
          <w:szCs w:val="18"/>
          <w:lang w:val="en"/>
        </w:rPr>
        <w:t xml:space="preserve"> Wei</w:t>
      </w:r>
      <w:r w:rsidRPr="00892B36">
        <w:rPr>
          <w:rFonts w:ascii="Palatino Linotype" w:hAnsi="Palatino Linotype"/>
          <w:color w:val="000000" w:themeColor="text1"/>
          <w:sz w:val="18"/>
          <w:szCs w:val="18"/>
          <w:vertAlign w:val="superscript"/>
          <w:lang w:val="en"/>
        </w:rPr>
        <w:t>1,2,3</w:t>
      </w:r>
    </w:p>
    <w:p w14:paraId="4F34A860" w14:textId="77777777" w:rsidR="00725184" w:rsidRPr="00892B36" w:rsidRDefault="00725184" w:rsidP="001339F0">
      <w:pPr>
        <w:jc w:val="both"/>
        <w:rPr>
          <w:rFonts w:ascii="Palatino Linotype" w:hAnsi="Palatino Linotype"/>
          <w:color w:val="000000" w:themeColor="text1"/>
          <w:sz w:val="18"/>
          <w:szCs w:val="18"/>
          <w:lang w:val="en"/>
        </w:rPr>
      </w:pPr>
    </w:p>
    <w:p w14:paraId="322C5C78" w14:textId="77777777" w:rsidR="00725184" w:rsidRPr="00892B36" w:rsidRDefault="00725184" w:rsidP="001339F0">
      <w:pPr>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vertAlign w:val="superscript"/>
        </w:rPr>
        <w:t xml:space="preserve">1 </w:t>
      </w:r>
      <w:r w:rsidRPr="00892B36">
        <w:rPr>
          <w:rFonts w:ascii="Palatino Linotype" w:hAnsi="Palatino Linotype"/>
          <w:color w:val="000000" w:themeColor="text1"/>
          <w:sz w:val="18"/>
          <w:szCs w:val="18"/>
        </w:rPr>
        <w:t>Computational Science and Engineering, Michigan Technological University, Houghton, MI 49931, USA</w:t>
      </w:r>
    </w:p>
    <w:p w14:paraId="6AE42927" w14:textId="77777777" w:rsidR="00725184" w:rsidRPr="00892B36" w:rsidRDefault="00725184" w:rsidP="001339F0">
      <w:pPr>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vertAlign w:val="superscript"/>
        </w:rPr>
        <w:t xml:space="preserve">2 </w:t>
      </w:r>
      <w:r w:rsidRPr="00892B36">
        <w:rPr>
          <w:rFonts w:ascii="Palatino Linotype" w:hAnsi="Palatino Linotype"/>
          <w:color w:val="000000" w:themeColor="text1"/>
          <w:sz w:val="18"/>
          <w:szCs w:val="18"/>
        </w:rPr>
        <w:t>College of Computing, Michigan Technological University, Houghton, MI 49931, USA</w:t>
      </w:r>
    </w:p>
    <w:p w14:paraId="4E0BBAE6" w14:textId="77777777" w:rsidR="00725184" w:rsidRPr="00892B36" w:rsidRDefault="00725184" w:rsidP="001339F0">
      <w:pPr>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vertAlign w:val="superscript"/>
        </w:rPr>
        <w:t xml:space="preserve">3 </w:t>
      </w:r>
      <w:r w:rsidRPr="00892B36">
        <w:rPr>
          <w:rFonts w:ascii="Palatino Linotype" w:hAnsi="Palatino Linotype"/>
          <w:color w:val="000000" w:themeColor="text1"/>
          <w:sz w:val="18"/>
          <w:szCs w:val="18"/>
        </w:rPr>
        <w:t>College of Forest Resources and Environmental Science, Michigan Technological University, Houghton, MI 49931, USA</w:t>
      </w:r>
    </w:p>
    <w:p w14:paraId="165DE618" w14:textId="77777777" w:rsidR="00426121" w:rsidRPr="00892B36" w:rsidRDefault="00426121" w:rsidP="001339F0">
      <w:pPr>
        <w:pStyle w:val="NormalWeb"/>
        <w:jc w:val="both"/>
        <w:rPr>
          <w:rFonts w:ascii="Palatino Linotype" w:hAnsi="Palatino Linotype"/>
          <w:color w:val="000000" w:themeColor="text1"/>
          <w:sz w:val="18"/>
          <w:szCs w:val="18"/>
        </w:rPr>
      </w:pPr>
    </w:p>
    <w:p w14:paraId="0F8BC600" w14:textId="3A5B7A6D" w:rsidR="00E84F22" w:rsidRPr="00892B36" w:rsidRDefault="001D49B8" w:rsidP="001339F0">
      <w:pPr>
        <w:pStyle w:val="NormalWeb"/>
        <w:jc w:val="both"/>
        <w:rPr>
          <w:rFonts w:ascii="Palatino Linotype" w:hAnsi="Palatino Linotype"/>
          <w:b/>
          <w:bCs/>
          <w:i/>
          <w:iCs/>
          <w:color w:val="000000" w:themeColor="text1"/>
          <w:sz w:val="18"/>
          <w:szCs w:val="18"/>
        </w:rPr>
      </w:pPr>
      <w:r w:rsidRPr="00892B36">
        <w:rPr>
          <w:rFonts w:ascii="Palatino Linotype" w:hAnsi="Palatino Linotype"/>
          <w:b/>
          <w:bCs/>
          <w:i/>
          <w:iCs/>
          <w:color w:val="000000" w:themeColor="text1"/>
          <w:sz w:val="18"/>
          <w:szCs w:val="18"/>
        </w:rPr>
        <w:t>ADDITIONAL RESULTS</w:t>
      </w:r>
    </w:p>
    <w:p w14:paraId="2B0BB30C" w14:textId="77777777" w:rsidR="00B1617F" w:rsidRPr="00892B36" w:rsidRDefault="00426121" w:rsidP="00B1617F">
      <w:pPr>
        <w:pStyle w:val="NormalWeb"/>
        <w:spacing w:before="0" w:beforeAutospacing="0" w:after="0" w:afterAutospacing="0"/>
        <w:jc w:val="both"/>
        <w:rPr>
          <w:rFonts w:ascii="Palatino Linotype" w:hAnsi="Palatino Linotype"/>
          <w:b/>
          <w:bCs/>
          <w:color w:val="000000" w:themeColor="text1"/>
          <w:sz w:val="18"/>
          <w:szCs w:val="18"/>
        </w:rPr>
      </w:pPr>
      <w:r w:rsidRPr="00892B36">
        <w:rPr>
          <w:rFonts w:ascii="Palatino Linotype" w:hAnsi="Palatino Linotype"/>
          <w:b/>
          <w:bCs/>
          <w:color w:val="000000" w:themeColor="text1"/>
          <w:sz w:val="18"/>
          <w:szCs w:val="18"/>
        </w:rPr>
        <w:t xml:space="preserve">Classification of COVID-19 samples using </w:t>
      </w:r>
      <w:proofErr w:type="spellStart"/>
      <w:r w:rsidRPr="00892B36">
        <w:rPr>
          <w:rFonts w:ascii="Palatino Linotype" w:hAnsi="Palatino Linotype"/>
          <w:b/>
          <w:bCs/>
          <w:color w:val="000000" w:themeColor="text1"/>
          <w:sz w:val="18"/>
          <w:szCs w:val="18"/>
        </w:rPr>
        <w:t>DyGAF</w:t>
      </w:r>
      <w:proofErr w:type="spellEnd"/>
      <w:r w:rsidRPr="00892B36">
        <w:rPr>
          <w:rFonts w:ascii="Palatino Linotype" w:hAnsi="Palatino Linotype"/>
          <w:b/>
          <w:bCs/>
          <w:color w:val="000000" w:themeColor="text1"/>
          <w:sz w:val="18"/>
          <w:szCs w:val="18"/>
        </w:rPr>
        <w:t xml:space="preserve"> and other comparative models </w:t>
      </w:r>
    </w:p>
    <w:p w14:paraId="355ACC47" w14:textId="70EF653C" w:rsidR="00426121" w:rsidRPr="00892B36" w:rsidRDefault="006F4E4C" w:rsidP="00B1617F">
      <w:pPr>
        <w:pStyle w:val="NormalWeb"/>
        <w:spacing w:before="0" w:beforeAutospacing="0" w:after="0" w:afterAutospacing="0"/>
        <w:jc w:val="both"/>
        <w:rPr>
          <w:rFonts w:ascii="Palatino Linotype" w:hAnsi="Palatino Linotype"/>
          <w:b/>
          <w:bCs/>
          <w:color w:val="000000" w:themeColor="text1"/>
          <w:sz w:val="18"/>
          <w:szCs w:val="18"/>
        </w:rPr>
      </w:pPr>
      <w:r w:rsidRPr="00892B36">
        <w:rPr>
          <w:rFonts w:ascii="Palatino Linotype" w:hAnsi="Palatino Linotype"/>
          <w:b/>
          <w:bCs/>
          <w:color w:val="000000" w:themeColor="text1"/>
          <w:sz w:val="18"/>
          <w:szCs w:val="18"/>
        </w:rPr>
        <w:tab/>
      </w:r>
    </w:p>
    <w:p w14:paraId="79BF5F14" w14:textId="329BA63A" w:rsidR="00F10690" w:rsidRPr="00892B36" w:rsidRDefault="00F10690" w:rsidP="00B1617F">
      <w:pPr>
        <w:pStyle w:val="NormalWeb"/>
        <w:spacing w:before="0" w:beforeAutospacing="0" w:after="0" w:afterAutospacing="0"/>
        <w:jc w:val="both"/>
        <w:rPr>
          <w:rFonts w:ascii="Palatino Linotype" w:hAnsi="Palatino Linotype"/>
          <w:color w:val="000000" w:themeColor="text1"/>
          <w:sz w:val="18"/>
          <w:szCs w:val="18"/>
          <w:lang w:bidi="en-US"/>
        </w:rPr>
      </w:pPr>
      <w:r w:rsidRPr="00892B36">
        <w:rPr>
          <w:rFonts w:ascii="Palatino Linotype" w:hAnsi="Palatino Linotype"/>
          <w:color w:val="000000" w:themeColor="text1"/>
          <w:sz w:val="18"/>
          <w:szCs w:val="18"/>
          <w:lang w:bidi="en-US"/>
        </w:rPr>
        <w:t xml:space="preserve">We applied five models to classify COVID-19 samples such as </w:t>
      </w:r>
      <w:r w:rsidR="004E0D1D" w:rsidRPr="002F5256">
        <w:rPr>
          <w:rFonts w:ascii="Palatino Linotype" w:hAnsi="Palatino Linotype"/>
          <w:color w:val="000000" w:themeColor="text1"/>
          <w:sz w:val="18"/>
          <w:szCs w:val="18"/>
          <w:highlight w:val="yellow"/>
          <w:lang w:bidi="en-US"/>
        </w:rPr>
        <w:t>Dynamic Gene Attention Focus (</w:t>
      </w:r>
      <w:proofErr w:type="spellStart"/>
      <w:r w:rsidR="004E0D1D" w:rsidRPr="002F5256">
        <w:rPr>
          <w:rFonts w:ascii="Palatino Linotype" w:hAnsi="Palatino Linotype"/>
          <w:color w:val="000000" w:themeColor="text1"/>
          <w:sz w:val="18"/>
          <w:szCs w:val="18"/>
          <w:highlight w:val="yellow"/>
          <w:lang w:bidi="en-US"/>
        </w:rPr>
        <w:t>DyGAF</w:t>
      </w:r>
      <w:proofErr w:type="spellEnd"/>
      <w:r w:rsidR="004E0D1D" w:rsidRPr="002F5256">
        <w:rPr>
          <w:rFonts w:ascii="Palatino Linotype" w:hAnsi="Palatino Linotype"/>
          <w:color w:val="000000" w:themeColor="text1"/>
          <w:sz w:val="18"/>
          <w:szCs w:val="18"/>
          <w:highlight w:val="yellow"/>
          <w:lang w:bidi="en-US"/>
        </w:rPr>
        <w:t>)</w:t>
      </w:r>
      <w:r w:rsidRPr="002F5256">
        <w:rPr>
          <w:rFonts w:ascii="Palatino Linotype" w:hAnsi="Palatino Linotype"/>
          <w:color w:val="000000" w:themeColor="text1"/>
          <w:sz w:val="18"/>
          <w:szCs w:val="18"/>
          <w:highlight w:val="yellow"/>
          <w:lang w:bidi="en-US"/>
        </w:rPr>
        <w:t>, Random Forest</w:t>
      </w:r>
      <w:r w:rsidR="004E0D1D" w:rsidRPr="002F5256">
        <w:rPr>
          <w:rFonts w:ascii="Palatino Linotype" w:hAnsi="Palatino Linotype"/>
          <w:color w:val="000000" w:themeColor="text1"/>
          <w:sz w:val="18"/>
          <w:szCs w:val="18"/>
          <w:highlight w:val="yellow"/>
          <w:lang w:bidi="en-US"/>
        </w:rPr>
        <w:t xml:space="preserve"> (RF)</w:t>
      </w:r>
      <w:r w:rsidRPr="002F5256">
        <w:rPr>
          <w:rFonts w:ascii="Palatino Linotype" w:hAnsi="Palatino Linotype"/>
          <w:color w:val="000000" w:themeColor="text1"/>
          <w:sz w:val="18"/>
          <w:szCs w:val="18"/>
          <w:highlight w:val="yellow"/>
          <w:lang w:bidi="en-US"/>
        </w:rPr>
        <w:t xml:space="preserve">, </w:t>
      </w:r>
      <w:proofErr w:type="spellStart"/>
      <w:r w:rsidRPr="002F5256">
        <w:rPr>
          <w:rFonts w:ascii="Palatino Linotype" w:hAnsi="Palatino Linotype"/>
          <w:color w:val="000000" w:themeColor="text1"/>
          <w:sz w:val="18"/>
          <w:szCs w:val="18"/>
          <w:highlight w:val="yellow"/>
          <w:lang w:bidi="en-US"/>
        </w:rPr>
        <w:t>DyGAF</w:t>
      </w:r>
      <w:proofErr w:type="spellEnd"/>
      <w:r w:rsidRPr="002F5256">
        <w:rPr>
          <w:rFonts w:ascii="Palatino Linotype" w:hAnsi="Palatino Linotype"/>
          <w:color w:val="000000" w:themeColor="text1"/>
          <w:sz w:val="18"/>
          <w:szCs w:val="18"/>
          <w:highlight w:val="yellow"/>
          <w:lang w:bidi="en-US"/>
        </w:rPr>
        <w:t>-</w:t>
      </w:r>
      <w:r w:rsidR="004E0D1D" w:rsidRPr="002F5256">
        <w:rPr>
          <w:rFonts w:ascii="Palatino Linotype" w:hAnsi="Palatino Linotype"/>
          <w:color w:val="000000" w:themeColor="text1"/>
          <w:sz w:val="18"/>
          <w:szCs w:val="18"/>
          <w:highlight w:val="yellow"/>
          <w:lang w:bidi="en-US"/>
        </w:rPr>
        <w:t>Support Vector Machine (</w:t>
      </w:r>
      <w:r w:rsidRPr="002F5256">
        <w:rPr>
          <w:rFonts w:ascii="Palatino Linotype" w:hAnsi="Palatino Linotype"/>
          <w:color w:val="000000" w:themeColor="text1"/>
          <w:sz w:val="18"/>
          <w:szCs w:val="18"/>
          <w:highlight w:val="yellow"/>
          <w:lang w:bidi="en-US"/>
        </w:rPr>
        <w:t>SVM</w:t>
      </w:r>
      <w:r w:rsidR="004E0D1D" w:rsidRPr="002F5256">
        <w:rPr>
          <w:rFonts w:ascii="Palatino Linotype" w:hAnsi="Palatino Linotype"/>
          <w:color w:val="000000" w:themeColor="text1"/>
          <w:sz w:val="18"/>
          <w:szCs w:val="18"/>
          <w:highlight w:val="yellow"/>
          <w:lang w:bidi="en-US"/>
        </w:rPr>
        <w:t>)</w:t>
      </w:r>
      <w:r w:rsidRPr="002F5256">
        <w:rPr>
          <w:rFonts w:ascii="Palatino Linotype" w:hAnsi="Palatino Linotype"/>
          <w:color w:val="000000" w:themeColor="text1"/>
          <w:sz w:val="18"/>
          <w:szCs w:val="18"/>
          <w:highlight w:val="yellow"/>
          <w:lang w:bidi="en-US"/>
        </w:rPr>
        <w:t xml:space="preserve">, </w:t>
      </w:r>
      <w:proofErr w:type="spellStart"/>
      <w:r w:rsidRPr="002F5256">
        <w:rPr>
          <w:rFonts w:ascii="Palatino Linotype" w:hAnsi="Palatino Linotype"/>
          <w:color w:val="000000" w:themeColor="text1"/>
          <w:sz w:val="18"/>
          <w:szCs w:val="18"/>
          <w:highlight w:val="yellow"/>
          <w:lang w:bidi="en-US"/>
        </w:rPr>
        <w:t>DyGAF</w:t>
      </w:r>
      <w:proofErr w:type="spellEnd"/>
      <w:r w:rsidRPr="002F5256">
        <w:rPr>
          <w:rFonts w:ascii="Palatino Linotype" w:hAnsi="Palatino Linotype"/>
          <w:color w:val="000000" w:themeColor="text1"/>
          <w:sz w:val="18"/>
          <w:szCs w:val="18"/>
          <w:highlight w:val="yellow"/>
          <w:lang w:bidi="en-US"/>
        </w:rPr>
        <w:t>-</w:t>
      </w:r>
      <w:r w:rsidR="004E0D1D" w:rsidRPr="004E0D1D">
        <w:rPr>
          <w:rFonts w:ascii="Palatino Linotype" w:eastAsia="SimSun" w:hAnsi="Palatino Linotype"/>
          <w:noProof/>
          <w:color w:val="000000" w:themeColor="text1"/>
          <w:sz w:val="20"/>
          <w:szCs w:val="20"/>
          <w:highlight w:val="yellow"/>
          <w:lang w:eastAsia="zh-CN"/>
        </w:rPr>
        <w:t xml:space="preserve"> </w:t>
      </w:r>
      <w:r w:rsidR="004E0D1D" w:rsidRPr="002F5256">
        <w:rPr>
          <w:rFonts w:ascii="Palatino Linotype" w:hAnsi="Palatino Linotype"/>
          <w:color w:val="000000" w:themeColor="text1"/>
          <w:sz w:val="18"/>
          <w:szCs w:val="18"/>
          <w:highlight w:val="yellow"/>
          <w:lang w:bidi="en-US"/>
        </w:rPr>
        <w:t xml:space="preserve">K-Nearest Neighbors </w:t>
      </w:r>
      <w:r w:rsidR="004E0D1D" w:rsidRPr="002F5256">
        <w:rPr>
          <w:rFonts w:ascii="Palatino Linotype" w:hAnsi="Palatino Linotype"/>
          <w:color w:val="000000" w:themeColor="text1"/>
          <w:sz w:val="18"/>
          <w:szCs w:val="18"/>
          <w:highlight w:val="yellow"/>
          <w:lang w:bidi="en-US"/>
        </w:rPr>
        <w:t>(</w:t>
      </w:r>
      <w:r w:rsidRPr="002F5256">
        <w:rPr>
          <w:rFonts w:ascii="Palatino Linotype" w:hAnsi="Palatino Linotype"/>
          <w:color w:val="000000" w:themeColor="text1"/>
          <w:sz w:val="18"/>
          <w:szCs w:val="18"/>
          <w:highlight w:val="yellow"/>
          <w:lang w:bidi="en-US"/>
        </w:rPr>
        <w:t>KNN</w:t>
      </w:r>
      <w:r w:rsidR="004E0D1D" w:rsidRPr="002F5256">
        <w:rPr>
          <w:rFonts w:ascii="Palatino Linotype" w:hAnsi="Palatino Linotype"/>
          <w:color w:val="000000" w:themeColor="text1"/>
          <w:sz w:val="18"/>
          <w:szCs w:val="18"/>
          <w:highlight w:val="yellow"/>
          <w:lang w:bidi="en-US"/>
        </w:rPr>
        <w:t>)</w:t>
      </w:r>
      <w:r w:rsidRPr="002F5256">
        <w:rPr>
          <w:rFonts w:ascii="Palatino Linotype" w:hAnsi="Palatino Linotype"/>
          <w:color w:val="000000" w:themeColor="text1"/>
          <w:sz w:val="18"/>
          <w:szCs w:val="18"/>
          <w:highlight w:val="yellow"/>
          <w:lang w:bidi="en-US"/>
        </w:rPr>
        <w:t xml:space="preserve"> and </w:t>
      </w:r>
      <w:r w:rsidR="004E0D1D" w:rsidRPr="002F5256">
        <w:rPr>
          <w:rFonts w:ascii="Palatino Linotype" w:hAnsi="Palatino Linotype"/>
          <w:color w:val="000000" w:themeColor="text1"/>
          <w:sz w:val="18"/>
          <w:szCs w:val="18"/>
          <w:highlight w:val="yellow"/>
          <w:lang w:bidi="en-US"/>
        </w:rPr>
        <w:t>Differential Expression Analysis</w:t>
      </w:r>
      <w:r w:rsidR="004E0D1D">
        <w:rPr>
          <w:rFonts w:ascii="Palatino Linotype" w:hAnsi="Palatino Linotype"/>
          <w:color w:val="000000" w:themeColor="text1"/>
          <w:sz w:val="18"/>
          <w:szCs w:val="18"/>
          <w:highlight w:val="yellow"/>
          <w:lang w:bidi="en-US"/>
        </w:rPr>
        <w:t xml:space="preserve"> </w:t>
      </w:r>
      <w:r w:rsidR="004E0D1D" w:rsidRPr="002F5256">
        <w:rPr>
          <w:rFonts w:ascii="Palatino Linotype" w:hAnsi="Palatino Linotype"/>
          <w:color w:val="000000" w:themeColor="text1"/>
          <w:sz w:val="18"/>
          <w:szCs w:val="18"/>
          <w:highlight w:val="yellow"/>
          <w:lang w:bidi="en-US"/>
        </w:rPr>
        <w:t>(DEA</w:t>
      </w:r>
      <w:r w:rsidR="004E0D1D" w:rsidRPr="002F5256">
        <w:rPr>
          <w:rFonts w:ascii="Palatino Linotype" w:hAnsi="Palatino Linotype"/>
          <w:color w:val="000000" w:themeColor="text1"/>
          <w:sz w:val="18"/>
          <w:szCs w:val="18"/>
          <w:highlight w:val="yellow"/>
          <w:lang w:bidi="en-US"/>
        </w:rPr>
        <w:t>)-RF</w:t>
      </w:r>
      <w:r w:rsidRPr="002F5256">
        <w:rPr>
          <w:rFonts w:ascii="Palatino Linotype" w:hAnsi="Palatino Linotype"/>
          <w:color w:val="000000" w:themeColor="text1"/>
          <w:sz w:val="18"/>
          <w:szCs w:val="18"/>
          <w:highlight w:val="yellow"/>
          <w:lang w:bidi="en-US"/>
        </w:rPr>
        <w:t>.</w:t>
      </w:r>
      <w:r w:rsidRPr="00892B36">
        <w:rPr>
          <w:rFonts w:ascii="Palatino Linotype" w:hAnsi="Palatino Linotype"/>
          <w:color w:val="000000" w:themeColor="text1"/>
          <w:sz w:val="18"/>
          <w:szCs w:val="18"/>
          <w:lang w:bidi="en-US"/>
        </w:rPr>
        <w:t xml:space="preserve"> The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-SVM, and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-KNN models were exclusively employed on 923 features identified by the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method. Meanwhile, the RF model was utilized on the entire gene set, and the DEA-RF model applied RF to classify features that were determined to be significant through DEA. Initially, Random Forest, SVM, and KNN classifiers trained using all available gene features, but we observed improved performance for SVM and KNN when utilizing the 923 features identified by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as shown </w:t>
      </w:r>
      <w:r w:rsidRPr="002F5256">
        <w:rPr>
          <w:rFonts w:ascii="Palatino Linotype" w:hAnsi="Palatino Linotype"/>
          <w:color w:val="000000" w:themeColor="text1"/>
          <w:sz w:val="18"/>
          <w:szCs w:val="18"/>
          <w:highlight w:val="yellow"/>
          <w:lang w:bidi="en-US"/>
        </w:rPr>
        <w:t xml:space="preserve">in Table </w:t>
      </w:r>
      <w:r w:rsidR="008C2007" w:rsidRPr="002F5256">
        <w:rPr>
          <w:rFonts w:ascii="Palatino Linotype" w:hAnsi="Palatino Linotype"/>
          <w:color w:val="000000" w:themeColor="text1"/>
          <w:sz w:val="18"/>
          <w:szCs w:val="18"/>
          <w:highlight w:val="yellow"/>
          <w:lang w:bidi="en-US"/>
        </w:rPr>
        <w:t>1</w:t>
      </w:r>
      <w:r w:rsidRPr="00892B36">
        <w:rPr>
          <w:rFonts w:ascii="Palatino Linotype" w:hAnsi="Palatino Linotype"/>
          <w:color w:val="000000" w:themeColor="text1"/>
          <w:sz w:val="18"/>
          <w:szCs w:val="18"/>
          <w:lang w:bidi="en-US"/>
        </w:rPr>
        <w:t xml:space="preserve">. Random Forest and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-SVM showcased robust performance with excellent testing accuracy and substantial sensitivity (</w:t>
      </w:r>
      <w:r w:rsidRPr="002F5256">
        <w:rPr>
          <w:rFonts w:ascii="Palatino Linotype" w:hAnsi="Palatino Linotype"/>
          <w:color w:val="000000" w:themeColor="text1"/>
          <w:sz w:val="18"/>
          <w:szCs w:val="18"/>
          <w:highlight w:val="yellow"/>
          <w:lang w:bidi="en-US"/>
        </w:rPr>
        <w:t xml:space="preserve">Figure </w:t>
      </w:r>
      <w:r w:rsidR="008C2007" w:rsidRPr="002F5256">
        <w:rPr>
          <w:rFonts w:ascii="Palatino Linotype" w:hAnsi="Palatino Linotype"/>
          <w:color w:val="000000" w:themeColor="text1"/>
          <w:sz w:val="18"/>
          <w:szCs w:val="18"/>
          <w:highlight w:val="yellow"/>
          <w:lang w:bidi="en-US"/>
        </w:rPr>
        <w:t>5</w:t>
      </w:r>
      <w:r w:rsidRPr="002F5256">
        <w:rPr>
          <w:rFonts w:ascii="Palatino Linotype" w:hAnsi="Palatino Linotype"/>
          <w:color w:val="000000" w:themeColor="text1"/>
          <w:sz w:val="18"/>
          <w:szCs w:val="18"/>
          <w:highlight w:val="yellow"/>
          <w:lang w:bidi="en-US"/>
        </w:rPr>
        <w:t xml:space="preserve">B, </w:t>
      </w:r>
      <w:r w:rsidR="00EF47E9" w:rsidRPr="002F5256">
        <w:rPr>
          <w:rFonts w:ascii="Palatino Linotype" w:hAnsi="Palatino Linotype"/>
          <w:color w:val="000000" w:themeColor="text1"/>
          <w:sz w:val="18"/>
          <w:szCs w:val="18"/>
          <w:highlight w:val="yellow"/>
          <w:lang w:bidi="en-US"/>
        </w:rPr>
        <w:t>5</w:t>
      </w:r>
      <w:r w:rsidRPr="002F5256">
        <w:rPr>
          <w:rFonts w:ascii="Palatino Linotype" w:hAnsi="Palatino Linotype"/>
          <w:color w:val="000000" w:themeColor="text1"/>
          <w:sz w:val="18"/>
          <w:szCs w:val="18"/>
          <w:highlight w:val="yellow"/>
          <w:lang w:bidi="en-US"/>
        </w:rPr>
        <w:t>C</w:t>
      </w:r>
      <w:r w:rsidRPr="00892B36">
        <w:rPr>
          <w:rFonts w:ascii="Palatino Linotype" w:hAnsi="Palatino Linotype"/>
          <w:color w:val="000000" w:themeColor="text1"/>
          <w:sz w:val="18"/>
          <w:szCs w:val="18"/>
          <w:lang w:bidi="en-US"/>
        </w:rPr>
        <w:t>), indicating their reliability in identifying COVID-19 cases. The KNN model displayed lower sensitivity, accuracy, and F1-score compared to the other models (</w:t>
      </w:r>
      <w:r w:rsidRPr="002F5256">
        <w:rPr>
          <w:rFonts w:ascii="Palatino Linotype" w:hAnsi="Palatino Linotype"/>
          <w:color w:val="000000" w:themeColor="text1"/>
          <w:sz w:val="18"/>
          <w:szCs w:val="18"/>
          <w:highlight w:val="yellow"/>
          <w:lang w:bidi="en-US"/>
        </w:rPr>
        <w:t xml:space="preserve">Table </w:t>
      </w:r>
      <w:r w:rsidR="008C2007" w:rsidRPr="002F5256">
        <w:rPr>
          <w:rFonts w:ascii="Palatino Linotype" w:hAnsi="Palatino Linotype"/>
          <w:color w:val="000000" w:themeColor="text1"/>
          <w:sz w:val="18"/>
          <w:szCs w:val="18"/>
          <w:highlight w:val="yellow"/>
          <w:lang w:bidi="en-US"/>
        </w:rPr>
        <w:t>1</w:t>
      </w:r>
      <w:r w:rsidRPr="002F5256">
        <w:rPr>
          <w:rFonts w:ascii="Palatino Linotype" w:hAnsi="Palatino Linotype"/>
          <w:color w:val="000000" w:themeColor="text1"/>
          <w:sz w:val="18"/>
          <w:szCs w:val="18"/>
          <w:highlight w:val="yellow"/>
          <w:lang w:bidi="en-US"/>
        </w:rPr>
        <w:t xml:space="preserve"> and Figure </w:t>
      </w:r>
      <w:r w:rsidR="008C2007" w:rsidRPr="002F5256">
        <w:rPr>
          <w:rFonts w:ascii="Palatino Linotype" w:hAnsi="Palatino Linotype"/>
          <w:color w:val="000000" w:themeColor="text1"/>
          <w:sz w:val="18"/>
          <w:szCs w:val="18"/>
          <w:highlight w:val="yellow"/>
          <w:lang w:bidi="en-US"/>
        </w:rPr>
        <w:t>5</w:t>
      </w:r>
      <w:r w:rsidRPr="002F5256">
        <w:rPr>
          <w:rFonts w:ascii="Palatino Linotype" w:hAnsi="Palatino Linotype"/>
          <w:color w:val="000000" w:themeColor="text1"/>
          <w:sz w:val="18"/>
          <w:szCs w:val="18"/>
          <w:highlight w:val="yellow"/>
          <w:lang w:bidi="en-US"/>
        </w:rPr>
        <w:t>D</w:t>
      </w:r>
      <w:r w:rsidRPr="00892B36">
        <w:rPr>
          <w:rFonts w:ascii="Palatino Linotype" w:hAnsi="Palatino Linotype"/>
          <w:color w:val="000000" w:themeColor="text1"/>
          <w:sz w:val="18"/>
          <w:szCs w:val="18"/>
          <w:lang w:bidi="en-US"/>
        </w:rPr>
        <w:t xml:space="preserve">). In this study, we benchmark the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model against previously published articles, demonstrating its enhanced capabilities in detecting and analyzing COVID-19. In a study, Gradient Boosting model shows a slightly higher testing accuracy and an excellent specificity of 100%, it falls short in sensitivity compared to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w:t>
      </w:r>
      <w:r w:rsidRPr="00892B36">
        <w:rPr>
          <w:rFonts w:ascii="Palatino Linotype" w:hAnsi="Palatino Linotype"/>
          <w:color w:val="000000" w:themeColor="text1"/>
          <w:sz w:val="18"/>
          <w:szCs w:val="18"/>
          <w:lang w:bidi="en-US"/>
        </w:rPr>
        <w:fldChar w:fldCharType="begin"/>
      </w:r>
      <w:r w:rsidR="00EF47E9">
        <w:rPr>
          <w:rFonts w:ascii="Palatino Linotype" w:hAnsi="Palatino Linotype"/>
          <w:color w:val="000000" w:themeColor="text1"/>
          <w:sz w:val="18"/>
          <w:szCs w:val="18"/>
          <w:lang w:bidi="en-US"/>
        </w:rPr>
        <w:instrText xml:space="preserve"> ADDIN EN.CITE &lt;EndNote&gt;&lt;Cite&gt;&lt;Author&gt;Daamen&lt;/Author&gt;&lt;Year&gt;2023&lt;/Year&gt;&lt;RecNum&gt;59&lt;/RecNum&gt;&lt;DisplayText&gt;&lt;style face="superscript"&gt;1&lt;/style&gt;&lt;/DisplayText&gt;&lt;record&gt;&lt;rec-number&gt;59&lt;/rec-number&gt;&lt;foreign-keys&gt;&lt;key app="EN" db-id="9tfa55a9nepsttertx0vawwcwp9z9vx5pfxe" timestamp="1713555506"&gt;59&lt;/key&gt;&lt;/foreign-keys&gt;&lt;ref-type name="Journal Article"&gt;17&lt;/ref-type&gt;&lt;contributors&gt;&lt;authors&gt;&lt;author&gt;Daamen, Andrea R&lt;/author&gt;&lt;author&gt;Bachali, Prathyusha&lt;/author&gt;&lt;author&gt;Grammer, Amrie C&lt;/author&gt;&lt;author&gt;Lipsky, Peter E&lt;/author&gt;&lt;/authors&gt;&lt;/contributors&gt;&lt;titles&gt;&lt;title&gt;Classification of COVID-19 patients into clinically relevant subsets by a novel machine learning pipeline using transcriptomic features&lt;/title&gt;&lt;secondary-title&gt;International journal of molecular sciences&lt;/secondary-title&gt;&lt;/titles&gt;&lt;periodical&gt;&lt;full-title&gt;International journal of molecular sciences&lt;/full-title&gt;&lt;/periodical&gt;&lt;pages&gt;4905&lt;/pages&gt;&lt;volume&gt;24&lt;/volume&gt;&lt;number&gt;5&lt;/number&gt;&lt;dates&gt;&lt;year&gt;2023&lt;/year&gt;&lt;/dates&gt;&lt;isbn&gt;1422-0067&lt;/isbn&gt;&lt;urls&gt;&lt;/urls&gt;&lt;/record&gt;&lt;/Cite&gt;&lt;/EndNote&gt;</w:instrText>
      </w:r>
      <w:r w:rsidRPr="00892B36">
        <w:rPr>
          <w:rFonts w:ascii="Palatino Linotype" w:hAnsi="Palatino Linotype"/>
          <w:color w:val="000000" w:themeColor="text1"/>
          <w:sz w:val="18"/>
          <w:szCs w:val="18"/>
          <w:lang w:bidi="en-US"/>
        </w:rPr>
        <w:fldChar w:fldCharType="separate"/>
      </w:r>
      <w:r w:rsidR="00EF47E9" w:rsidRPr="00EF47E9">
        <w:rPr>
          <w:rFonts w:ascii="Palatino Linotype" w:hAnsi="Palatino Linotype"/>
          <w:noProof/>
          <w:color w:val="000000" w:themeColor="text1"/>
          <w:sz w:val="18"/>
          <w:szCs w:val="18"/>
          <w:vertAlign w:val="superscript"/>
          <w:lang w:bidi="en-US"/>
        </w:rPr>
        <w:t>1</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lang w:bidi="en-US"/>
        </w:rPr>
        <w:t xml:space="preserve">. The Associative Classification Model, with a testing accuracy of 92.70%, showcases robust performance, yet still does not match the accuracy and sensitivity achieved by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w:t>
      </w:r>
      <w:r w:rsidRPr="00892B36">
        <w:rPr>
          <w:rFonts w:ascii="Palatino Linotype" w:hAnsi="Palatino Linotype"/>
          <w:color w:val="000000" w:themeColor="text1"/>
          <w:sz w:val="18"/>
          <w:szCs w:val="18"/>
          <w:lang w:bidi="en-US"/>
        </w:rPr>
        <w:fldChar w:fldCharType="begin"/>
      </w:r>
      <w:r w:rsidR="00EF47E9">
        <w:rPr>
          <w:rFonts w:ascii="Palatino Linotype" w:hAnsi="Palatino Linotype"/>
          <w:color w:val="000000" w:themeColor="text1"/>
          <w:sz w:val="18"/>
          <w:szCs w:val="18"/>
          <w:lang w:bidi="en-US"/>
        </w:rPr>
        <w:instrText xml:space="preserve"> ADDIN EN.CITE &lt;EndNote&gt;&lt;Cite&gt;&lt;Author&gt;Cicek&lt;/Author&gt;&lt;Year&gt;2022&lt;/Year&gt;&lt;RecNum&gt;60&lt;/RecNum&gt;&lt;DisplayText&gt;&lt;style face="superscript"&gt;2&lt;/style&gt;&lt;/DisplayText&gt;&lt;record&gt;&lt;rec-number&gt;60&lt;/rec-number&gt;&lt;foreign-keys&gt;&lt;key app="EN" db-id="9tfa55a9nepsttertx0vawwcwp9z9vx5pfxe" timestamp="1713555548"&gt;60&lt;/key&gt;&lt;/foreign-keys&gt;&lt;ref-type name="Journal Article"&gt;17&lt;/ref-type&gt;&lt;contributors&gt;&lt;authors&gt;&lt;author&gt;Cicek, Ipek Balikci&lt;/author&gt;&lt;author&gt;Kaya, Öğr Üyesi Mehmet Onur&lt;/author&gt;&lt;author&gt;Colak, Cemil&lt;/author&gt;&lt;/authors&gt;&lt;/contributors&gt;&lt;titles&gt;&lt;title&gt;Assessment of COVID-19-Related genes through associative classification techniques&lt;/title&gt;&lt;secondary-title&gt;Konuralp Medical Journal&lt;/secondary-title&gt;&lt;/titles&gt;&lt;periodical&gt;&lt;full-title&gt;Konuralp Medical Journal&lt;/full-title&gt;&lt;/periodical&gt;&lt;pages&gt;1-8&lt;/pages&gt;&lt;volume&gt;14&lt;/volume&gt;&lt;number&gt;1&lt;/number&gt;&lt;dates&gt;&lt;year&gt;2022&lt;/year&gt;&lt;/dates&gt;&lt;isbn&gt;1309-3878&lt;/isbn&gt;&lt;urls&gt;&lt;/urls&gt;&lt;/record&gt;&lt;/Cite&gt;&lt;/EndNote&gt;</w:instrText>
      </w:r>
      <w:r w:rsidRPr="00892B36">
        <w:rPr>
          <w:rFonts w:ascii="Palatino Linotype" w:hAnsi="Palatino Linotype"/>
          <w:color w:val="000000" w:themeColor="text1"/>
          <w:sz w:val="18"/>
          <w:szCs w:val="18"/>
          <w:lang w:bidi="en-US"/>
        </w:rPr>
        <w:fldChar w:fldCharType="separate"/>
      </w:r>
      <w:r w:rsidR="00EF47E9" w:rsidRPr="00EF47E9">
        <w:rPr>
          <w:rFonts w:ascii="Palatino Linotype" w:hAnsi="Palatino Linotype"/>
          <w:noProof/>
          <w:color w:val="000000" w:themeColor="text1"/>
          <w:sz w:val="18"/>
          <w:szCs w:val="18"/>
          <w:vertAlign w:val="superscript"/>
          <w:lang w:bidi="en-US"/>
        </w:rPr>
        <w:t>2</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lang w:bidi="en-US"/>
        </w:rPr>
        <w:t xml:space="preserve">. In other study, both SVM models show lower sensitivity and, in the case of SVM-II, a significantly lower F1-score, indicating a less balanced performance between precision and recall </w:t>
      </w:r>
      <w:r w:rsidRPr="00892B36">
        <w:rPr>
          <w:rFonts w:ascii="Palatino Linotype" w:hAnsi="Palatino Linotype"/>
          <w:color w:val="000000" w:themeColor="text1"/>
          <w:sz w:val="18"/>
          <w:szCs w:val="18"/>
          <w:lang w:bidi="en-US"/>
        </w:rPr>
        <w:fldChar w:fldCharType="begin"/>
      </w:r>
      <w:r w:rsidR="00EF47E9">
        <w:rPr>
          <w:rFonts w:ascii="Palatino Linotype" w:hAnsi="Palatino Linotype"/>
          <w:color w:val="000000" w:themeColor="text1"/>
          <w:sz w:val="18"/>
          <w:szCs w:val="18"/>
          <w:lang w:bidi="en-US"/>
        </w:rPr>
        <w:instrText xml:space="preserve"> ADDIN EN.CITE &lt;EndNote&gt;&lt;Cite&gt;&lt;Author&gt;Salman&lt;/Author&gt;&lt;Year&gt;2022&lt;/Year&gt;&lt;RecNum&gt;61&lt;/RecNum&gt;&lt;DisplayText&gt;&lt;style face="superscript"&gt;3,4&lt;/style&gt;&lt;/DisplayText&gt;&lt;record&gt;&lt;rec-number&gt;61&lt;/rec-number&gt;&lt;foreign-keys&gt;&lt;key app="EN" db-id="9tfa55a9nepsttertx0vawwcwp9z9vx5pfxe" timestamp="1713555599"&gt;61&lt;/key&gt;&lt;/foreign-keys&gt;&lt;ref-type name="Journal Article"&gt;17&lt;/ref-type&gt;&lt;contributors&gt;&lt;authors&gt;&lt;author&gt;Salman, Akbal Omran&lt;/author&gt;&lt;author&gt;Geman, Oana&lt;/author&gt;&lt;/authors&gt;&lt;/contributors&gt;&lt;titles&gt;&lt;title&gt;Evaluating three machine learning classification methods for effective COVID-19 diagnosis&lt;/title&gt;&lt;secondary-title&gt;International Journal of Mathematics, Statistics, and Computer Science&lt;/secondary-title&gt;&lt;/titles&gt;&lt;periodical&gt;&lt;full-title&gt;International Journal of Mathematics, Statistics, and Computer Science&lt;/full-title&gt;&lt;/periodical&gt;&lt;volume&gt;1&lt;/volume&gt;&lt;dates&gt;&lt;year&gt;2022&lt;/year&gt;&lt;/dates&gt;&lt;urls&gt;&lt;/urls&gt;&lt;/record&gt;&lt;/Cite&gt;&lt;Cite&gt;&lt;Author&gt;Houssein&lt;/Author&gt;&lt;Year&gt;2021&lt;/Year&gt;&lt;RecNum&gt;62&lt;/RecNum&gt;&lt;record&gt;&lt;rec-number&gt;62&lt;/rec-number&gt;&lt;foreign-keys&gt;&lt;key app="EN" db-id="9tfa55a9nepsttertx0vawwcwp9z9vx5pfxe" timestamp="1713555637"&gt;62&lt;/key&gt;&lt;/foreign-keys&gt;&lt;ref-type name="Journal Article"&gt;17&lt;/ref-type&gt;&lt;contributors&gt;&lt;authors&gt;&lt;author&gt;Houssein, Essam H&lt;/author&gt;&lt;author&gt;Ahmad, Muhammad&lt;/author&gt;&lt;author&gt;Hosney, Mosa E&lt;/author&gt;&lt;author&gt;Mazzara, Manuel&lt;/author&gt;&lt;/authors&gt;&lt;/contributors&gt;&lt;titles&gt;&lt;title&gt;Classification approach for covid-19 gene based on harris hawks optimization&lt;/title&gt;&lt;secondary-title&gt;Artificial Intelligence for COVID-19&lt;/secondary-title&gt;&lt;/titles&gt;&lt;periodical&gt;&lt;full-title&gt;Artificial Intelligence for COVID-19&lt;/full-title&gt;&lt;/periodical&gt;&lt;pages&gt;575-594&lt;/pages&gt;&lt;dates&gt;&lt;year&gt;2021&lt;/year&gt;&lt;/dates&gt;&lt;isbn&gt;3030697436&lt;/isbn&gt;&lt;urls&gt;&lt;/urls&gt;&lt;/record&gt;&lt;/Cite&gt;&lt;/EndNote&gt;</w:instrText>
      </w:r>
      <w:r w:rsidRPr="00892B36">
        <w:rPr>
          <w:rFonts w:ascii="Palatino Linotype" w:hAnsi="Palatino Linotype"/>
          <w:color w:val="000000" w:themeColor="text1"/>
          <w:sz w:val="18"/>
          <w:szCs w:val="18"/>
          <w:lang w:bidi="en-US"/>
        </w:rPr>
        <w:fldChar w:fldCharType="separate"/>
      </w:r>
      <w:r w:rsidR="00EF47E9" w:rsidRPr="00EF47E9">
        <w:rPr>
          <w:rFonts w:ascii="Palatino Linotype" w:hAnsi="Palatino Linotype"/>
          <w:noProof/>
          <w:color w:val="000000" w:themeColor="text1"/>
          <w:sz w:val="18"/>
          <w:szCs w:val="18"/>
          <w:vertAlign w:val="superscript"/>
          <w:lang w:bidi="en-US"/>
        </w:rPr>
        <w:t>3,4</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lang w:bidi="en-US"/>
        </w:rPr>
        <w:t xml:space="preserve">. The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model distinguishes itself with unparalleled sensitivity and robust accuracy in COVID-19 detection. It outperforms other models, particularly in its ability to identify all true positive cases, which is crucial for preventing the spread of infection.</w:t>
      </w:r>
    </w:p>
    <w:p w14:paraId="3DAF6A0B" w14:textId="75E52A1A" w:rsidR="00F10690" w:rsidRPr="00892B36" w:rsidRDefault="00F10690" w:rsidP="00B1617F">
      <w:pPr>
        <w:pStyle w:val="NormalWeb"/>
        <w:jc w:val="both"/>
        <w:rPr>
          <w:rFonts w:ascii="Palatino Linotype" w:hAnsi="Palatino Linotype"/>
          <w:color w:val="000000" w:themeColor="text1"/>
          <w:sz w:val="18"/>
          <w:szCs w:val="18"/>
          <w:lang w:bidi="en-US"/>
        </w:rPr>
      </w:pPr>
      <w:r w:rsidRPr="00892B36">
        <w:rPr>
          <w:rFonts w:ascii="Palatino Linotype" w:hAnsi="Palatino Linotype"/>
          <w:color w:val="000000" w:themeColor="text1"/>
          <w:sz w:val="18"/>
          <w:szCs w:val="18"/>
          <w:lang w:bidi="en-US"/>
        </w:rPr>
        <w:t xml:space="preserve">This study also demonstrated that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outperformed other models in diagnosis of COVID-19 from healthy individuals using gene expression profiles from nasopharyngeal swabs. It achieved a remarkable level of accuracy and F1-score, and its effectiveness as shown </w:t>
      </w:r>
      <w:r w:rsidRPr="002F5256">
        <w:rPr>
          <w:rFonts w:ascii="Palatino Linotype" w:hAnsi="Palatino Linotype"/>
          <w:color w:val="000000" w:themeColor="text1"/>
          <w:sz w:val="18"/>
          <w:szCs w:val="18"/>
          <w:highlight w:val="yellow"/>
          <w:lang w:bidi="en-US"/>
        </w:rPr>
        <w:t xml:space="preserve">in Table </w:t>
      </w:r>
      <w:r w:rsidR="008C2007" w:rsidRPr="002F5256">
        <w:rPr>
          <w:rFonts w:ascii="Palatino Linotype" w:hAnsi="Palatino Linotype"/>
          <w:color w:val="000000" w:themeColor="text1"/>
          <w:sz w:val="18"/>
          <w:szCs w:val="18"/>
          <w:highlight w:val="yellow"/>
          <w:lang w:bidi="en-US"/>
        </w:rPr>
        <w:t>1</w:t>
      </w:r>
      <w:r w:rsidRPr="00892B36">
        <w:rPr>
          <w:rFonts w:ascii="Palatino Linotype" w:hAnsi="Palatino Linotype"/>
          <w:color w:val="000000" w:themeColor="text1"/>
          <w:sz w:val="18"/>
          <w:szCs w:val="18"/>
          <w:lang w:bidi="en-US"/>
        </w:rPr>
        <w:t>. In managing outbreaks like COVID-19, a diagnostic technique with high sensitivity is critical, as demonstrated by our model's 100% sensitivity rate (</w:t>
      </w:r>
      <w:r w:rsidRPr="002F5256">
        <w:rPr>
          <w:rFonts w:ascii="Palatino Linotype" w:hAnsi="Palatino Linotype"/>
          <w:color w:val="000000" w:themeColor="text1"/>
          <w:sz w:val="18"/>
          <w:szCs w:val="18"/>
          <w:highlight w:val="yellow"/>
          <w:lang w:bidi="en-US"/>
        </w:rPr>
        <w:t xml:space="preserve">Figure </w:t>
      </w:r>
      <w:r w:rsidR="008C2007" w:rsidRPr="002F5256">
        <w:rPr>
          <w:rFonts w:ascii="Palatino Linotype" w:hAnsi="Palatino Linotype"/>
          <w:color w:val="000000" w:themeColor="text1"/>
          <w:sz w:val="18"/>
          <w:szCs w:val="18"/>
          <w:highlight w:val="yellow"/>
          <w:lang w:bidi="en-US"/>
        </w:rPr>
        <w:t>5</w:t>
      </w:r>
      <w:r w:rsidRPr="002F5256">
        <w:rPr>
          <w:rFonts w:ascii="Palatino Linotype" w:hAnsi="Palatino Linotype"/>
          <w:color w:val="000000" w:themeColor="text1"/>
          <w:sz w:val="18"/>
          <w:szCs w:val="18"/>
          <w:highlight w:val="yellow"/>
          <w:lang w:bidi="en-US"/>
        </w:rPr>
        <w:t xml:space="preserve">A and Table </w:t>
      </w:r>
      <w:r w:rsidR="008C2007" w:rsidRPr="002F5256">
        <w:rPr>
          <w:rFonts w:ascii="Palatino Linotype" w:hAnsi="Palatino Linotype"/>
          <w:color w:val="000000" w:themeColor="text1"/>
          <w:sz w:val="18"/>
          <w:szCs w:val="18"/>
          <w:highlight w:val="yellow"/>
          <w:lang w:bidi="en-US"/>
        </w:rPr>
        <w:t>1</w:t>
      </w:r>
      <w:r w:rsidRPr="00892B36">
        <w:rPr>
          <w:rFonts w:ascii="Palatino Linotype" w:hAnsi="Palatino Linotype"/>
          <w:color w:val="000000" w:themeColor="text1"/>
          <w:sz w:val="18"/>
          <w:szCs w:val="18"/>
          <w:lang w:bidi="en-US"/>
        </w:rPr>
        <w:t>), ensuring complete detection for rapid intervention. Our model showed moderate specificity, yet it was higher compare to DEA-RF. Overall, high sensitivity is crucial to minimize false negatives and control viral spread. Practically, we can accept a higher rate of false positives, indicating potential COVID-19 infections, which can then be verified through confirmatory testing such as RT-PCR.</w:t>
      </w:r>
      <w:r w:rsidRPr="00892B36" w:rsidDel="00B30F68">
        <w:rPr>
          <w:rFonts w:ascii="Palatino Linotype" w:hAnsi="Palatino Linotype"/>
          <w:color w:val="000000" w:themeColor="text1"/>
          <w:sz w:val="18"/>
          <w:szCs w:val="18"/>
          <w:lang w:bidi="en-US"/>
        </w:rPr>
        <w:t xml:space="preserve"> </w:t>
      </w:r>
      <w:r w:rsidRPr="00892B36">
        <w:rPr>
          <w:rFonts w:ascii="Palatino Linotype" w:hAnsi="Palatino Linotype"/>
          <w:color w:val="000000" w:themeColor="text1"/>
          <w:sz w:val="18"/>
          <w:szCs w:val="18"/>
          <w:lang w:bidi="en-US"/>
        </w:rPr>
        <w:fldChar w:fldCharType="begin"/>
      </w:r>
      <w:r w:rsidR="00EF47E9">
        <w:rPr>
          <w:rFonts w:ascii="Palatino Linotype" w:hAnsi="Palatino Linotype"/>
          <w:color w:val="000000" w:themeColor="text1"/>
          <w:sz w:val="18"/>
          <w:szCs w:val="18"/>
          <w:lang w:bidi="en-US"/>
        </w:rPr>
        <w:instrText xml:space="preserve"> ADDIN EN.CITE &lt;EndNote&gt;&lt;Cite&gt;&lt;Author&gt;Lalkhen&lt;/Author&gt;&lt;Year&gt;2008&lt;/Year&gt;&lt;RecNum&gt;75&lt;/RecNum&gt;&lt;DisplayText&gt;&lt;style face="superscript"&gt;5,6&lt;/style&gt;&lt;/DisplayText&gt;&lt;record&gt;&lt;rec-number&gt;75&lt;/rec-number&gt;&lt;foreign-keys&gt;&lt;key app="EN" db-id="9tfa55a9nepsttertx0vawwcwp9z9vx5pfxe" timestamp="1716234012"&gt;75&lt;/key&gt;&lt;/foreign-keys&gt;&lt;ref-type name="Journal Article"&gt;17&lt;/ref-type&gt;&lt;contributors&gt;&lt;authors&gt;&lt;author&gt;Lalkhen, Abdul Ghaaliq&lt;/author&gt;&lt;author&gt;McCluskey, Anthony&lt;/author&gt;&lt;/authors&gt;&lt;/contributors&gt;&lt;titles&gt;&lt;title&gt;Clinical tests: sensitivity and specificity&lt;/title&gt;&lt;secondary-title&gt;Continuing education in anaesthesia, critical care &amp;amp; pain&lt;/secondary-title&gt;&lt;/titles&gt;&lt;periodical&gt;&lt;full-title&gt;Continuing education in anaesthesia, critical care &amp;amp; pain&lt;/full-title&gt;&lt;/periodical&gt;&lt;pages&gt;221-223&lt;/pages&gt;&lt;volume&gt;8&lt;/volume&gt;&lt;number&gt;6&lt;/number&gt;&lt;dates&gt;&lt;year&gt;2008&lt;/year&gt;&lt;/dates&gt;&lt;isbn&gt;1743-1824&lt;/isbn&gt;&lt;urls&gt;&lt;/urls&gt;&lt;/record&gt;&lt;/Cite&gt;&lt;Cite&gt;&lt;Author&gt;West&lt;/Author&gt;&lt;Year&gt;2021&lt;/Year&gt;&lt;RecNum&gt;58&lt;/RecNum&gt;&lt;record&gt;&lt;rec-number&gt;58&lt;/rec-number&gt;&lt;foreign-keys&gt;&lt;key app="EN" db-id="9tfa55a9nepsttertx0vawwcwp9z9vx5pfxe" timestamp="1713537537"&gt;58&lt;/key&gt;&lt;/foreign-keys&gt;&lt;ref-type name="Journal Article"&gt;17&lt;/ref-type&gt;&lt;contributors&gt;&lt;authors&gt;&lt;author&gt;West, Rachel&lt;/author&gt;&lt;author&gt;Kobokovich, Amanda&lt;/author&gt;&lt;/authors&gt;&lt;/contributors&gt;&lt;titles&gt;&lt;title&gt;Factsheet: Understanding the Accuracy of Diagnostic and Serology Tests: Sensitivity and Specificity&lt;/title&gt;&lt;/titles&gt;&lt;dates&gt;&lt;year&gt;2021&lt;/year&gt;&lt;/dates&gt;&lt;urls&gt;&lt;/urls&gt;&lt;/record&gt;&lt;/Cite&gt;&lt;/EndNote&gt;</w:instrText>
      </w:r>
      <w:r w:rsidRPr="00892B36">
        <w:rPr>
          <w:rFonts w:ascii="Palatino Linotype" w:hAnsi="Palatino Linotype"/>
          <w:color w:val="000000" w:themeColor="text1"/>
          <w:sz w:val="18"/>
          <w:szCs w:val="18"/>
          <w:lang w:bidi="en-US"/>
        </w:rPr>
        <w:fldChar w:fldCharType="separate"/>
      </w:r>
      <w:r w:rsidR="00EF47E9" w:rsidRPr="00EF47E9">
        <w:rPr>
          <w:rFonts w:ascii="Palatino Linotype" w:hAnsi="Palatino Linotype"/>
          <w:noProof/>
          <w:color w:val="000000" w:themeColor="text1"/>
          <w:sz w:val="18"/>
          <w:szCs w:val="18"/>
          <w:vertAlign w:val="superscript"/>
          <w:lang w:bidi="en-US"/>
        </w:rPr>
        <w:t>5,6</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lang w:bidi="en-US"/>
        </w:rPr>
        <w:t xml:space="preserve">. </w:t>
      </w:r>
    </w:p>
    <w:p w14:paraId="632F1B3F" w14:textId="429A2733" w:rsidR="00426121" w:rsidRPr="00892B36" w:rsidRDefault="00426121" w:rsidP="00B1617F">
      <w:pPr>
        <w:pStyle w:val="NormalWeb"/>
        <w:spacing w:before="0" w:beforeAutospacing="0" w:after="0" w:afterAutospacing="0"/>
        <w:jc w:val="both"/>
        <w:rPr>
          <w:rFonts w:ascii="Palatino Linotype" w:hAnsi="Palatino Linotype"/>
          <w:b/>
          <w:bCs/>
          <w:color w:val="000000" w:themeColor="text1"/>
          <w:sz w:val="18"/>
          <w:szCs w:val="18"/>
          <w:lang w:bidi="en-US"/>
        </w:rPr>
      </w:pPr>
      <w:r w:rsidRPr="00892B36">
        <w:rPr>
          <w:rFonts w:ascii="Palatino Linotype" w:hAnsi="Palatino Linotype"/>
          <w:b/>
          <w:bCs/>
          <w:color w:val="000000" w:themeColor="text1"/>
          <w:sz w:val="18"/>
          <w:szCs w:val="18"/>
          <w:lang w:bidi="en-US"/>
        </w:rPr>
        <w:t xml:space="preserve">Gene ontology enrichment analysis of top genes identified by </w:t>
      </w:r>
      <w:proofErr w:type="spellStart"/>
      <w:r w:rsidRPr="00892B36">
        <w:rPr>
          <w:rFonts w:ascii="Palatino Linotype" w:hAnsi="Palatino Linotype"/>
          <w:b/>
          <w:bCs/>
          <w:color w:val="000000" w:themeColor="text1"/>
          <w:sz w:val="18"/>
          <w:szCs w:val="18"/>
          <w:lang w:bidi="en-US"/>
        </w:rPr>
        <w:t>DyGAF</w:t>
      </w:r>
      <w:proofErr w:type="spellEnd"/>
      <w:r w:rsidRPr="00892B36">
        <w:rPr>
          <w:rFonts w:ascii="Palatino Linotype" w:hAnsi="Palatino Linotype"/>
          <w:b/>
          <w:bCs/>
          <w:color w:val="000000" w:themeColor="text1"/>
          <w:sz w:val="18"/>
          <w:szCs w:val="18"/>
          <w:lang w:bidi="en-US"/>
        </w:rPr>
        <w:t xml:space="preserve"> and other models</w:t>
      </w:r>
    </w:p>
    <w:p w14:paraId="560B2801" w14:textId="77777777" w:rsidR="00B1617F" w:rsidRPr="00892B36" w:rsidRDefault="00B1617F" w:rsidP="00B1617F">
      <w:pPr>
        <w:pStyle w:val="NormalWeb"/>
        <w:spacing w:before="0" w:beforeAutospacing="0" w:after="0" w:afterAutospacing="0"/>
        <w:jc w:val="both"/>
        <w:rPr>
          <w:rFonts w:ascii="Palatino Linotype" w:hAnsi="Palatino Linotype"/>
          <w:b/>
          <w:bCs/>
          <w:color w:val="000000" w:themeColor="text1"/>
          <w:sz w:val="10"/>
          <w:szCs w:val="10"/>
          <w:lang w:bidi="en-US"/>
        </w:rPr>
      </w:pPr>
    </w:p>
    <w:p w14:paraId="0D83F181" w14:textId="2D7D6E95" w:rsidR="00F10690" w:rsidRPr="00892B36" w:rsidRDefault="00F10690" w:rsidP="00B1617F">
      <w:pPr>
        <w:pStyle w:val="NormalWeb"/>
        <w:spacing w:before="0" w:beforeAutospacing="0" w:after="0" w:afterAutospacing="0"/>
        <w:jc w:val="both"/>
        <w:rPr>
          <w:rFonts w:ascii="Palatino Linotype" w:hAnsi="Palatino Linotype"/>
          <w:color w:val="000000" w:themeColor="text1"/>
          <w:sz w:val="18"/>
          <w:szCs w:val="18"/>
          <w:lang w:bidi="en-US"/>
        </w:rPr>
      </w:pPr>
      <w:r w:rsidRPr="00892B36">
        <w:rPr>
          <w:rFonts w:ascii="Palatino Linotype" w:hAnsi="Palatino Linotype"/>
          <w:color w:val="000000" w:themeColor="text1"/>
          <w:sz w:val="18"/>
          <w:szCs w:val="18"/>
          <w:lang w:bidi="en-US"/>
        </w:rPr>
        <w:t xml:space="preserve">In </w:t>
      </w:r>
      <w:r w:rsidRPr="002F5256">
        <w:rPr>
          <w:rFonts w:ascii="Palatino Linotype" w:hAnsi="Palatino Linotype"/>
          <w:color w:val="000000" w:themeColor="text1"/>
          <w:sz w:val="18"/>
          <w:szCs w:val="18"/>
          <w:highlight w:val="yellow"/>
          <w:lang w:bidi="en-US"/>
        </w:rPr>
        <w:t xml:space="preserve">Figure </w:t>
      </w:r>
      <w:r w:rsidR="008C2007" w:rsidRPr="002F5256">
        <w:rPr>
          <w:rFonts w:ascii="Palatino Linotype" w:hAnsi="Palatino Linotype"/>
          <w:color w:val="000000" w:themeColor="text1"/>
          <w:sz w:val="18"/>
          <w:szCs w:val="18"/>
          <w:highlight w:val="yellow"/>
          <w:lang w:bidi="en-US"/>
        </w:rPr>
        <w:t>6</w:t>
      </w:r>
      <w:r w:rsidRPr="002F5256">
        <w:rPr>
          <w:rFonts w:ascii="Palatino Linotype" w:hAnsi="Palatino Linotype"/>
          <w:color w:val="000000" w:themeColor="text1"/>
          <w:sz w:val="18"/>
          <w:szCs w:val="18"/>
          <w:highlight w:val="yellow"/>
          <w:lang w:bidi="en-US"/>
        </w:rPr>
        <w:t>A</w:t>
      </w:r>
      <w:r w:rsidRPr="00892B36">
        <w:rPr>
          <w:rFonts w:ascii="Palatino Linotype" w:hAnsi="Palatino Linotype"/>
          <w:color w:val="000000" w:themeColor="text1"/>
          <w:sz w:val="18"/>
          <w:szCs w:val="18"/>
          <w:lang w:bidi="en-US"/>
        </w:rPr>
        <w:t xml:space="preserve">, it shows that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and DEA shared 35 common genes and 65 unique genes. Our </w:t>
      </w:r>
      <w:r w:rsidRPr="002F5256">
        <w:rPr>
          <w:rFonts w:ascii="Palatino Linotype" w:hAnsi="Palatino Linotype"/>
          <w:color w:val="000000" w:themeColor="text1"/>
          <w:sz w:val="18"/>
          <w:szCs w:val="18"/>
          <w:highlight w:val="yellow"/>
          <w:lang w:bidi="en-US"/>
        </w:rPr>
        <w:t>G</w:t>
      </w:r>
      <w:r w:rsidR="004E0D1D" w:rsidRPr="002F5256">
        <w:rPr>
          <w:rFonts w:ascii="Palatino Linotype" w:hAnsi="Palatino Linotype"/>
          <w:color w:val="000000" w:themeColor="text1"/>
          <w:sz w:val="18"/>
          <w:szCs w:val="18"/>
          <w:highlight w:val="yellow"/>
          <w:lang w:bidi="en-US"/>
        </w:rPr>
        <w:t xml:space="preserve">ene </w:t>
      </w:r>
      <w:r w:rsidRPr="002F5256">
        <w:rPr>
          <w:rFonts w:ascii="Palatino Linotype" w:hAnsi="Palatino Linotype"/>
          <w:color w:val="000000" w:themeColor="text1"/>
          <w:sz w:val="18"/>
          <w:szCs w:val="18"/>
          <w:highlight w:val="yellow"/>
          <w:lang w:bidi="en-US"/>
        </w:rPr>
        <w:t>O</w:t>
      </w:r>
      <w:r w:rsidR="004E0D1D" w:rsidRPr="002F5256">
        <w:rPr>
          <w:rFonts w:ascii="Palatino Linotype" w:hAnsi="Palatino Linotype"/>
          <w:color w:val="000000" w:themeColor="text1"/>
          <w:sz w:val="18"/>
          <w:szCs w:val="18"/>
          <w:highlight w:val="yellow"/>
          <w:lang w:bidi="en-US"/>
        </w:rPr>
        <w:t>ntology (GO)</w:t>
      </w:r>
      <w:r w:rsidRPr="00892B36">
        <w:rPr>
          <w:rFonts w:ascii="Palatino Linotype" w:hAnsi="Palatino Linotype"/>
          <w:color w:val="000000" w:themeColor="text1"/>
          <w:sz w:val="18"/>
          <w:szCs w:val="18"/>
          <w:lang w:bidi="en-US"/>
        </w:rPr>
        <w:t xml:space="preserve"> analysis displays the top 20 COVID-19 related GO terms for all three models (</w:t>
      </w:r>
      <w:r w:rsidRPr="002F5256">
        <w:rPr>
          <w:rFonts w:ascii="Palatino Linotype" w:hAnsi="Palatino Linotype"/>
          <w:color w:val="000000" w:themeColor="text1"/>
          <w:sz w:val="18"/>
          <w:szCs w:val="18"/>
          <w:highlight w:val="yellow"/>
          <w:lang w:bidi="en-US"/>
        </w:rPr>
        <w:t xml:space="preserve">Figure </w:t>
      </w:r>
      <w:r w:rsidR="008C2007" w:rsidRPr="002F5256">
        <w:rPr>
          <w:rFonts w:ascii="Palatino Linotype" w:hAnsi="Palatino Linotype"/>
          <w:color w:val="000000" w:themeColor="text1"/>
          <w:sz w:val="18"/>
          <w:szCs w:val="18"/>
          <w:highlight w:val="yellow"/>
          <w:lang w:bidi="en-US"/>
        </w:rPr>
        <w:t>6</w:t>
      </w:r>
      <w:r w:rsidRPr="002F5256">
        <w:rPr>
          <w:rFonts w:ascii="Palatino Linotype" w:hAnsi="Palatino Linotype"/>
          <w:color w:val="000000" w:themeColor="text1"/>
          <w:sz w:val="18"/>
          <w:szCs w:val="18"/>
          <w:highlight w:val="yellow"/>
          <w:lang w:bidi="en-US"/>
        </w:rPr>
        <w:t>C-E</w:t>
      </w:r>
      <w:r w:rsidRPr="00892B36">
        <w:rPr>
          <w:rFonts w:ascii="Palatino Linotype" w:hAnsi="Palatino Linotype"/>
          <w:color w:val="000000" w:themeColor="text1"/>
          <w:sz w:val="18"/>
          <w:szCs w:val="18"/>
          <w:lang w:bidi="en-US"/>
        </w:rPr>
        <w:t xml:space="preserve">). Overall, the GO analysis, </w:t>
      </w:r>
      <w:bookmarkStart w:id="1" w:name="OLE_LINK8"/>
      <w:r w:rsidRPr="00892B36">
        <w:rPr>
          <w:rFonts w:ascii="Palatino Linotype" w:hAnsi="Palatino Linotype"/>
          <w:color w:val="000000" w:themeColor="text1"/>
          <w:sz w:val="18"/>
          <w:szCs w:val="18"/>
          <w:lang w:bidi="en-US"/>
        </w:rPr>
        <w:t>supported by previous literature</w:t>
      </w:r>
      <w:bookmarkEnd w:id="1"/>
      <w:r w:rsidRPr="00892B36">
        <w:rPr>
          <w:rFonts w:ascii="Palatino Linotype" w:hAnsi="Palatino Linotype"/>
          <w:color w:val="000000" w:themeColor="text1"/>
          <w:sz w:val="18"/>
          <w:szCs w:val="18"/>
          <w:lang w:bidi="en-US"/>
        </w:rPr>
        <w:t xml:space="preserve">, revealed that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identified 30 significant COVID-19 related GO terms, DEA identified 21, and RF identified 14, as detailed in Supplemental Table 4, 7 and 10 </w:t>
      </w:r>
      <w:r w:rsidRPr="00892B36">
        <w:rPr>
          <w:rFonts w:ascii="Palatino Linotype" w:hAnsi="Palatino Linotype"/>
          <w:color w:val="000000" w:themeColor="text1"/>
          <w:sz w:val="18"/>
          <w:szCs w:val="18"/>
          <w:lang w:bidi="en-US"/>
        </w:rPr>
        <w:fldChar w:fldCharType="begin"/>
      </w:r>
      <w:r w:rsidR="00EF47E9">
        <w:rPr>
          <w:rFonts w:ascii="Palatino Linotype" w:hAnsi="Palatino Linotype"/>
          <w:color w:val="000000" w:themeColor="text1"/>
          <w:sz w:val="18"/>
          <w:szCs w:val="18"/>
          <w:lang w:bidi="en-US"/>
        </w:rPr>
        <w:instrText xml:space="preserve"> ADDIN EN.CITE &lt;EndNote&gt;&lt;Cite&gt;&lt;Author&gt;Farahani&lt;/Author&gt;&lt;Year&gt;2022&lt;/Year&gt;&lt;RecNum&gt;5&lt;/RecNum&gt;&lt;DisplayText&gt;&lt;style face="superscript"&gt;7,8&lt;/style&gt;&lt;/DisplayText&gt;&lt;record&gt;&lt;rec-number&gt;5&lt;/rec-number&gt;&lt;foreign-keys&gt;&lt;key app="EN" db-id="9tfa55a9nepsttertx0vawwcwp9z9vx5pfxe" timestamp="1712157082"&gt;5&lt;/key&gt;&lt;/foreign-keys&gt;&lt;ref-type name="Journal Article"&gt;17&lt;/ref-type&gt;&lt;contributors&gt;&lt;authors&gt;&lt;author&gt;Farahani, Masoumeh&lt;/author&gt;&lt;author&gt;Niknam, Zahra&lt;/author&gt;&lt;author&gt;Amirabad, Leila Mohammadi&lt;/author&gt;&lt;author&gt;Amiri-Dashatan, Nasrin&lt;/author&gt;&lt;author&gt;Koushki, Mehdi&lt;/author&gt;&lt;author&gt;Nemati, Mohadeseh&lt;/author&gt;&lt;author&gt;Pouya, Fahima Danesh&lt;/author&gt;&lt;author&gt;Rezaei-Tavirani, Mostafa&lt;/author&gt;&lt;author&gt;Rasmi, Yousef&lt;/author&gt;&lt;author&gt;Tayebi, Lobat&lt;/author&gt;&lt;/authors&gt;&lt;/contributors&gt;&lt;titles&gt;&lt;title&gt;Molecular pathways involved in COVID-19 and potential pathway-based therapeutic targets&lt;/title&gt;&lt;secondary-title&gt;Biomedicine &amp;amp; Pharmacotherapy&lt;/secondary-title&gt;&lt;/titles&gt;&lt;periodical&gt;&lt;full-title&gt;Biomedicine &amp;amp; Pharmacotherapy&lt;/full-title&gt;&lt;/periodical&gt;&lt;pages&gt;112420&lt;/pages&gt;&lt;volume&gt;145&lt;/volume&gt;&lt;dates&gt;&lt;year&gt;2022&lt;/year&gt;&lt;/dates&gt;&lt;isbn&gt;0753-3322&lt;/isbn&gt;&lt;urls&gt;&lt;/urls&gt;&lt;/record&gt;&lt;/Cite&gt;&lt;Cite&gt;&lt;Author&gt;Paludan&lt;/Author&gt;&lt;Year&gt;2022&lt;/Year&gt;&lt;RecNum&gt;6&lt;/RecNum&gt;&lt;record&gt;&lt;rec-number&gt;6&lt;/rec-number&gt;&lt;foreign-keys&gt;&lt;key app="EN" db-id="9tfa55a9nepsttertx0vawwcwp9z9vx5pfxe" timestamp="1712157173"&gt;6&lt;/key&gt;&lt;/foreign-keys&gt;&lt;ref-type name="Journal Article"&gt;17&lt;/ref-type&gt;&lt;contributors&gt;&lt;authors&gt;&lt;author&gt;Paludan, Søren R&lt;/author&gt;&lt;author&gt;Mogensen, Trine H&lt;/author&gt;&lt;/authors&gt;&lt;/contributors&gt;&lt;titles&gt;&lt;title&gt;Innate immunological pathways in COVID-19 pathogenesis&lt;/title&gt;&lt;secondary-title&gt;Science immunology&lt;/secondary-title&gt;&lt;/titles&gt;&lt;periodical&gt;&lt;full-title&gt;Science immunology&lt;/full-title&gt;&lt;/periodical&gt;&lt;pages&gt;eabm5505&lt;/pages&gt;&lt;volume&gt;7&lt;/volume&gt;&lt;number&gt;67&lt;/number&gt;&lt;dates&gt;&lt;year&gt;2022&lt;/year&gt;&lt;/dates&gt;&lt;isbn&gt;2470-9468&lt;/isbn&gt;&lt;urls&gt;&lt;/urls&gt;&lt;/record&gt;&lt;/Cite&gt;&lt;/EndNote&gt;</w:instrText>
      </w:r>
      <w:r w:rsidRPr="00892B36">
        <w:rPr>
          <w:rFonts w:ascii="Palatino Linotype" w:hAnsi="Palatino Linotype"/>
          <w:color w:val="000000" w:themeColor="text1"/>
          <w:sz w:val="18"/>
          <w:szCs w:val="18"/>
          <w:lang w:bidi="en-US"/>
        </w:rPr>
        <w:fldChar w:fldCharType="separate"/>
      </w:r>
      <w:r w:rsidR="00EF47E9" w:rsidRPr="00EF47E9">
        <w:rPr>
          <w:rFonts w:ascii="Palatino Linotype" w:hAnsi="Palatino Linotype"/>
          <w:noProof/>
          <w:color w:val="000000" w:themeColor="text1"/>
          <w:sz w:val="18"/>
          <w:szCs w:val="18"/>
          <w:vertAlign w:val="superscript"/>
          <w:lang w:bidi="en-US"/>
        </w:rPr>
        <w:t>7,8</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lang w:bidi="en-US"/>
        </w:rPr>
        <w:t xml:space="preserve">. This implies that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may exhibit greater sensitivity or comprehensiveness in its ability to detect biological processes compared to DEA or RF. As shown in </w:t>
      </w:r>
      <w:r w:rsidRPr="002F5256">
        <w:rPr>
          <w:rFonts w:ascii="Palatino Linotype" w:hAnsi="Palatino Linotype"/>
          <w:color w:val="000000" w:themeColor="text1"/>
          <w:sz w:val="18"/>
          <w:szCs w:val="18"/>
          <w:highlight w:val="yellow"/>
          <w:lang w:bidi="en-US"/>
        </w:rPr>
        <w:t xml:space="preserve">Figure </w:t>
      </w:r>
      <w:r w:rsidR="008C2007" w:rsidRPr="002F5256">
        <w:rPr>
          <w:rFonts w:ascii="Palatino Linotype" w:hAnsi="Palatino Linotype"/>
          <w:color w:val="000000" w:themeColor="text1"/>
          <w:sz w:val="18"/>
          <w:szCs w:val="18"/>
          <w:highlight w:val="yellow"/>
          <w:lang w:bidi="en-US"/>
        </w:rPr>
        <w:t>6</w:t>
      </w:r>
      <w:r w:rsidRPr="002F5256">
        <w:rPr>
          <w:rFonts w:ascii="Palatino Linotype" w:hAnsi="Palatino Linotype"/>
          <w:color w:val="000000" w:themeColor="text1"/>
          <w:sz w:val="18"/>
          <w:szCs w:val="18"/>
          <w:highlight w:val="yellow"/>
          <w:lang w:bidi="en-US"/>
        </w:rPr>
        <w:t>B</w:t>
      </w:r>
      <w:r w:rsidRPr="00892B36">
        <w:rPr>
          <w:rFonts w:ascii="Palatino Linotype" w:hAnsi="Palatino Linotype"/>
          <w:color w:val="000000" w:themeColor="text1"/>
          <w:sz w:val="18"/>
          <w:szCs w:val="18"/>
          <w:lang w:bidi="en-US"/>
        </w:rPr>
        <w:t xml:space="preserve">, we found that 12 statistically significant GO terms are common among all models.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and </w:t>
      </w:r>
      <w:r w:rsidRPr="00892B36">
        <w:rPr>
          <w:rFonts w:ascii="Palatino Linotype" w:hAnsi="Palatino Linotype"/>
          <w:color w:val="000000" w:themeColor="text1"/>
          <w:sz w:val="18"/>
          <w:szCs w:val="18"/>
          <w:lang w:bidi="en-US"/>
        </w:rPr>
        <w:lastRenderedPageBreak/>
        <w:t xml:space="preserve">DEA share 20 similar terms, with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and DEA each enriching six and two unique GO terms, respectively. There are total of 30 unique enriched GO terms. These can be categorized into three main biological groups: viral entry, host’s immune response and controlling inflammation.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also ranked the 'Coronavirus Disease' pathway from KEGG as the second most statistically significant, with an adjusted p-value of 1.09e-06, highlighting that 11 of the top 100 genes enriched this pathway (</w:t>
      </w:r>
      <w:r w:rsidRPr="002F5256">
        <w:rPr>
          <w:rFonts w:ascii="Palatino Linotype" w:hAnsi="Palatino Linotype"/>
          <w:color w:val="000000" w:themeColor="text1"/>
          <w:sz w:val="18"/>
          <w:szCs w:val="18"/>
          <w:highlight w:val="yellow"/>
          <w:lang w:bidi="en-US"/>
        </w:rPr>
        <w:t xml:space="preserve">Table </w:t>
      </w:r>
      <w:r w:rsidR="008C2007" w:rsidRPr="002F5256">
        <w:rPr>
          <w:rFonts w:ascii="Palatino Linotype" w:hAnsi="Palatino Linotype"/>
          <w:color w:val="000000" w:themeColor="text1"/>
          <w:sz w:val="18"/>
          <w:szCs w:val="18"/>
          <w:highlight w:val="yellow"/>
          <w:lang w:bidi="en-US"/>
        </w:rPr>
        <w:t>2</w:t>
      </w:r>
      <w:r w:rsidR="00181A2C" w:rsidRPr="00892B36">
        <w:rPr>
          <w:rFonts w:ascii="Palatino Linotype" w:hAnsi="Palatino Linotype"/>
          <w:color w:val="000000" w:themeColor="text1"/>
          <w:sz w:val="18"/>
          <w:szCs w:val="18"/>
          <w:lang w:bidi="en-US"/>
        </w:rPr>
        <w:t xml:space="preserve"> in the main manuscript</w:t>
      </w:r>
      <w:r w:rsidRPr="00892B36">
        <w:rPr>
          <w:rFonts w:ascii="Palatino Linotype" w:hAnsi="Palatino Linotype"/>
          <w:color w:val="000000" w:themeColor="text1"/>
          <w:sz w:val="18"/>
          <w:szCs w:val="18"/>
          <w:lang w:bidi="en-US"/>
        </w:rPr>
        <w:t xml:space="preserve">). This performance surpasses that observed with DEA and RF. Detail KEGG analysis is shown in Supplemental Table 5, 8 and 11. Additionally, in the </w:t>
      </w:r>
      <w:proofErr w:type="spellStart"/>
      <w:r w:rsidRPr="00892B36">
        <w:rPr>
          <w:rFonts w:ascii="Palatino Linotype" w:hAnsi="Palatino Linotype"/>
          <w:color w:val="000000" w:themeColor="text1"/>
          <w:sz w:val="18"/>
          <w:szCs w:val="18"/>
          <w:lang w:bidi="en-US"/>
        </w:rPr>
        <w:t>WikiPathways</w:t>
      </w:r>
      <w:proofErr w:type="spellEnd"/>
      <w:r w:rsidRPr="00892B36">
        <w:rPr>
          <w:rFonts w:ascii="Palatino Linotype" w:hAnsi="Palatino Linotype"/>
          <w:color w:val="000000" w:themeColor="text1"/>
          <w:sz w:val="18"/>
          <w:szCs w:val="18"/>
          <w:lang w:bidi="en-US"/>
        </w:rPr>
        <w:t xml:space="preserve"> database,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and DEA enriched nine pathways related to COVID-19 (</w:t>
      </w:r>
      <w:r w:rsidRPr="002F5256">
        <w:rPr>
          <w:rFonts w:ascii="Palatino Linotype" w:hAnsi="Palatino Linotype"/>
          <w:color w:val="000000" w:themeColor="text1"/>
          <w:sz w:val="18"/>
          <w:szCs w:val="18"/>
          <w:highlight w:val="yellow"/>
          <w:lang w:bidi="en-US"/>
        </w:rPr>
        <w:t xml:space="preserve">Table </w:t>
      </w:r>
      <w:r w:rsidR="008C2007" w:rsidRPr="002F5256">
        <w:rPr>
          <w:rFonts w:ascii="Palatino Linotype" w:hAnsi="Palatino Linotype"/>
          <w:color w:val="000000" w:themeColor="text1"/>
          <w:sz w:val="18"/>
          <w:szCs w:val="18"/>
          <w:highlight w:val="yellow"/>
          <w:lang w:bidi="en-US"/>
        </w:rPr>
        <w:t>3</w:t>
      </w:r>
      <w:r w:rsidR="00181A2C" w:rsidRPr="00892B36">
        <w:rPr>
          <w:rFonts w:ascii="Palatino Linotype" w:hAnsi="Palatino Linotype"/>
          <w:color w:val="000000" w:themeColor="text1"/>
          <w:sz w:val="18"/>
          <w:szCs w:val="18"/>
          <w:lang w:bidi="en-US"/>
        </w:rPr>
        <w:t xml:space="preserve"> in the main manuscript</w:t>
      </w:r>
      <w:r w:rsidRPr="00892B36">
        <w:rPr>
          <w:rFonts w:ascii="Palatino Linotype" w:hAnsi="Palatino Linotype"/>
          <w:color w:val="000000" w:themeColor="text1"/>
          <w:sz w:val="18"/>
          <w:szCs w:val="18"/>
          <w:lang w:bidi="en-US"/>
        </w:rPr>
        <w:t xml:space="preserve">), compared to seven enriched by RF (Supplemental Table 6, 9 and 12). These results demonstrate that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not only outperforms the other two models but also exhibits greater </w:t>
      </w:r>
      <w:bookmarkStart w:id="2" w:name="OLE_LINK10"/>
      <w:r w:rsidRPr="00892B36">
        <w:rPr>
          <w:rFonts w:ascii="Palatino Linotype" w:hAnsi="Palatino Linotype"/>
          <w:color w:val="000000" w:themeColor="text1"/>
          <w:sz w:val="18"/>
          <w:szCs w:val="18"/>
          <w:lang w:bidi="en-US"/>
        </w:rPr>
        <w:t>sensitivity</w:t>
      </w:r>
      <w:bookmarkEnd w:id="2"/>
      <w:r w:rsidRPr="00892B36">
        <w:rPr>
          <w:rFonts w:ascii="Palatino Linotype" w:hAnsi="Palatino Linotype"/>
          <w:color w:val="000000" w:themeColor="text1"/>
          <w:sz w:val="18"/>
          <w:szCs w:val="18"/>
          <w:lang w:bidi="en-US"/>
        </w:rPr>
        <w:t xml:space="preserve">, as it retrieves extensive information related to COVID-19 from only the top 100 genes. This suggests that expanding the analysis to include more than the top 100 genes could potentially yield even more relevant GO terms and pathways, further enhancing our understanding of the disease's molecular basis. We provide a </w:t>
      </w:r>
      <w:r w:rsidR="00427359" w:rsidRPr="00892B36">
        <w:rPr>
          <w:rFonts w:ascii="Palatino Linotype" w:hAnsi="Palatino Linotype"/>
          <w:color w:val="000000" w:themeColor="text1"/>
          <w:sz w:val="18"/>
          <w:szCs w:val="18"/>
          <w:lang w:bidi="en-US"/>
        </w:rPr>
        <w:t>detailed discussion of GO</w:t>
      </w:r>
      <w:r w:rsidRPr="00892B36">
        <w:rPr>
          <w:rFonts w:ascii="Palatino Linotype" w:hAnsi="Palatino Linotype"/>
          <w:color w:val="000000" w:themeColor="text1"/>
          <w:sz w:val="18"/>
          <w:szCs w:val="18"/>
          <w:lang w:bidi="en-US"/>
        </w:rPr>
        <w:t xml:space="preserve">, KEGG pathway, and </w:t>
      </w:r>
      <w:proofErr w:type="spellStart"/>
      <w:r w:rsidRPr="00892B36">
        <w:rPr>
          <w:rFonts w:ascii="Palatino Linotype" w:hAnsi="Palatino Linotype"/>
          <w:color w:val="000000" w:themeColor="text1"/>
          <w:sz w:val="18"/>
          <w:szCs w:val="18"/>
          <w:lang w:bidi="en-US"/>
        </w:rPr>
        <w:t>WikiPathways</w:t>
      </w:r>
      <w:proofErr w:type="spellEnd"/>
      <w:r w:rsidRPr="00892B36">
        <w:rPr>
          <w:rFonts w:ascii="Palatino Linotype" w:hAnsi="Palatino Linotype"/>
          <w:color w:val="000000" w:themeColor="text1"/>
          <w:sz w:val="18"/>
          <w:szCs w:val="18"/>
          <w:lang w:bidi="en-US"/>
        </w:rPr>
        <w:t xml:space="preserve"> analysis in Supplementa</w:t>
      </w:r>
      <w:r w:rsidR="00392070" w:rsidRPr="00892B36">
        <w:rPr>
          <w:rFonts w:ascii="Palatino Linotype" w:hAnsi="Palatino Linotype"/>
          <w:color w:val="000000" w:themeColor="text1"/>
          <w:sz w:val="18"/>
          <w:szCs w:val="18"/>
          <w:lang w:bidi="en-US"/>
        </w:rPr>
        <w:t>l</w:t>
      </w:r>
      <w:r w:rsidRPr="00892B36">
        <w:rPr>
          <w:rFonts w:ascii="Palatino Linotype" w:hAnsi="Palatino Linotype"/>
          <w:color w:val="000000" w:themeColor="text1"/>
          <w:sz w:val="18"/>
          <w:szCs w:val="18"/>
          <w:lang w:bidi="en-US"/>
        </w:rPr>
        <w:t xml:space="preserve"> File 13.</w:t>
      </w:r>
    </w:p>
    <w:p w14:paraId="19D49C9C" w14:textId="7C74AC1B" w:rsidR="00F10690" w:rsidRPr="00892B36" w:rsidRDefault="00C82434" w:rsidP="00B1617F">
      <w:pPr>
        <w:pStyle w:val="NormalWeb"/>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 xml:space="preserve">Among 30 enriched COVID-19-related GOs identified by </w:t>
      </w: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7 unique GOs were enriched by the </w:t>
      </w: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method alone. These include: (1) Regulation Of Monocyte Chemotactic Protein-1 Production (GO:0071637); (2) Positive Regulation Of I-</w:t>
      </w:r>
      <w:proofErr w:type="spellStart"/>
      <w:r w:rsidRPr="00892B36">
        <w:rPr>
          <w:rFonts w:ascii="Palatino Linotype" w:hAnsi="Palatino Linotype"/>
          <w:color w:val="000000" w:themeColor="text1"/>
          <w:sz w:val="18"/>
          <w:szCs w:val="18"/>
        </w:rPr>
        <w:t>kappaB</w:t>
      </w:r>
      <w:proofErr w:type="spellEnd"/>
      <w:r w:rsidRPr="00892B36">
        <w:rPr>
          <w:rFonts w:ascii="Palatino Linotype" w:hAnsi="Palatino Linotype"/>
          <w:color w:val="000000" w:themeColor="text1"/>
          <w:sz w:val="18"/>
          <w:szCs w:val="18"/>
        </w:rPr>
        <w:t xml:space="preserve"> kinase/NF-</w:t>
      </w:r>
      <w:proofErr w:type="spellStart"/>
      <w:r w:rsidRPr="00892B36">
        <w:rPr>
          <w:rFonts w:ascii="Palatino Linotype" w:hAnsi="Palatino Linotype"/>
          <w:color w:val="000000" w:themeColor="text1"/>
          <w:sz w:val="18"/>
          <w:szCs w:val="18"/>
        </w:rPr>
        <w:t>kappaB</w:t>
      </w:r>
      <w:proofErr w:type="spellEnd"/>
      <w:r w:rsidRPr="00892B36">
        <w:rPr>
          <w:rFonts w:ascii="Palatino Linotype" w:hAnsi="Palatino Linotype"/>
          <w:color w:val="000000" w:themeColor="text1"/>
          <w:sz w:val="18"/>
          <w:szCs w:val="18"/>
        </w:rPr>
        <w:t xml:space="preserve"> Signaling (GO:0043123); (3) Response To Interleukin-1 (GO:0070555); (4) Cell Surface Toll-Like Receptor Signaling Pathway (GO:0140895); (5) Toll-Like Receptor 4 Signaling Pathway (GO:0034142); (6) Positive Regulation Of T Cell Cytokine Production (GO:0002726) ; (7) Regulation Of Interleukin-8 Production (GO:0032677). </w:t>
      </w:r>
      <w:r w:rsidR="00F10690" w:rsidRPr="00892B36">
        <w:rPr>
          <w:rFonts w:ascii="Palatino Linotype" w:hAnsi="Palatino Linotype"/>
          <w:color w:val="000000" w:themeColor="text1"/>
          <w:sz w:val="18"/>
          <w:szCs w:val="18"/>
        </w:rPr>
        <w:t xml:space="preserve">All the 30 GOs can be categorized into three main biological groups: firstly, viral entry such as </w:t>
      </w:r>
      <w:r w:rsidR="00F10690" w:rsidRPr="00892B36">
        <w:rPr>
          <w:rFonts w:ascii="Palatino Linotype" w:hAnsi="Palatino Linotype"/>
          <w:i/>
          <w:iCs/>
          <w:color w:val="000000" w:themeColor="text1"/>
          <w:sz w:val="18"/>
          <w:szCs w:val="18"/>
        </w:rPr>
        <w:t>Regulation Of Viral Entry Into Host Cell</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GO:0046596</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Regulation Of Viral Genome Replication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GO:0045069</w:t>
      </w:r>
      <w:r w:rsidR="00F10690" w:rsidRPr="00892B36">
        <w:rPr>
          <w:rFonts w:ascii="Palatino Linotype" w:hAnsi="Palatino Linotype"/>
          <w:color w:val="000000" w:themeColor="text1"/>
          <w:sz w:val="18"/>
          <w:szCs w:val="18"/>
        </w:rPr>
        <w:t xml:space="preserve">); secondly, the host's immune response to the virus such as </w:t>
      </w:r>
      <w:r w:rsidR="00F10690" w:rsidRPr="00892B36">
        <w:rPr>
          <w:rFonts w:ascii="Palatino Linotype" w:hAnsi="Palatino Linotype"/>
          <w:i/>
          <w:iCs/>
          <w:color w:val="000000" w:themeColor="text1"/>
          <w:sz w:val="18"/>
          <w:szCs w:val="18"/>
        </w:rPr>
        <w:t>Defense Response To Virus</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GO:0051607</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Negative Regulation Of Viral Genome Replication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GO:0045071</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Antiviral Innate Immune Response</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GO:0140374</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Positive Regulation Of Interferon-Beta Production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GO:0032728</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Response To Type I Interferon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GO:0034340</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Positive Regulation Of RIG-I Signaling Pathway</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GO:1900246</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Positive Regulation Of I-</w:t>
      </w:r>
      <w:proofErr w:type="spellStart"/>
      <w:r w:rsidR="00F10690" w:rsidRPr="00892B36">
        <w:rPr>
          <w:rFonts w:ascii="Palatino Linotype" w:hAnsi="Palatino Linotype"/>
          <w:i/>
          <w:iCs/>
          <w:color w:val="000000" w:themeColor="text1"/>
          <w:sz w:val="18"/>
          <w:szCs w:val="18"/>
        </w:rPr>
        <w:t>kappaB</w:t>
      </w:r>
      <w:proofErr w:type="spellEnd"/>
      <w:r w:rsidR="00F10690" w:rsidRPr="00892B36">
        <w:rPr>
          <w:rFonts w:ascii="Palatino Linotype" w:hAnsi="Palatino Linotype"/>
          <w:i/>
          <w:iCs/>
          <w:color w:val="000000" w:themeColor="text1"/>
          <w:sz w:val="18"/>
          <w:szCs w:val="18"/>
        </w:rPr>
        <w:t xml:space="preserve"> kinase/NF-</w:t>
      </w:r>
      <w:proofErr w:type="spellStart"/>
      <w:r w:rsidR="00F10690" w:rsidRPr="00892B36">
        <w:rPr>
          <w:rFonts w:ascii="Palatino Linotype" w:hAnsi="Palatino Linotype"/>
          <w:i/>
          <w:iCs/>
          <w:color w:val="000000" w:themeColor="text1"/>
          <w:sz w:val="18"/>
          <w:szCs w:val="18"/>
        </w:rPr>
        <w:t>kappaB</w:t>
      </w:r>
      <w:proofErr w:type="spellEnd"/>
      <w:r w:rsidR="00F10690" w:rsidRPr="00892B36">
        <w:rPr>
          <w:rFonts w:ascii="Palatino Linotype" w:hAnsi="Palatino Linotype"/>
          <w:i/>
          <w:iCs/>
          <w:color w:val="000000" w:themeColor="text1"/>
          <w:sz w:val="18"/>
          <w:szCs w:val="18"/>
        </w:rPr>
        <w:t xml:space="preserve"> Signaling</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GO:0043123</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Regulation Of Innate Immune Response</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GO:0045088</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Regulation Of MDA-5 Signaling Pathway</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GO:0039533</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Negative Regulation Of Viral Entry Into Host Cell</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GO:0046597</w:t>
      </w:r>
      <w:r w:rsidR="00F10690" w:rsidRPr="00892B36">
        <w:rPr>
          <w:rFonts w:ascii="Palatino Linotype" w:hAnsi="Palatino Linotype"/>
          <w:color w:val="000000" w:themeColor="text1"/>
          <w:sz w:val="18"/>
          <w:szCs w:val="18"/>
        </w:rPr>
        <w:t xml:space="preserve">); and thirdly, controlling inflammation and other processes such as </w:t>
      </w:r>
      <w:r w:rsidR="00F10690" w:rsidRPr="00892B36">
        <w:rPr>
          <w:rFonts w:ascii="Palatino Linotype" w:hAnsi="Palatino Linotype"/>
          <w:i/>
          <w:iCs/>
          <w:color w:val="000000" w:themeColor="text1"/>
          <w:sz w:val="18"/>
          <w:szCs w:val="18"/>
        </w:rPr>
        <w:t>Positive Regulation Of Tumor Necrosis Factor Production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GO:0032760</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Positive Regulation Of Tumor Necrosis Factor Superfamily Cytokine Production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GO:1903557</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Regulation Of Interferon-Beta Production (GO:0032648), Cytokine-Mediated Signaling Pathway</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GO:0019221</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Positive Regulation Of Cytokine Production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GO:0001819</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Regulation Of I-</w:t>
      </w:r>
      <w:proofErr w:type="spellStart"/>
      <w:r w:rsidR="00F10690" w:rsidRPr="00892B36">
        <w:rPr>
          <w:rFonts w:ascii="Palatino Linotype" w:hAnsi="Palatino Linotype"/>
          <w:i/>
          <w:iCs/>
          <w:color w:val="000000" w:themeColor="text1"/>
          <w:sz w:val="18"/>
          <w:szCs w:val="18"/>
        </w:rPr>
        <w:t>kappaB</w:t>
      </w:r>
      <w:proofErr w:type="spellEnd"/>
      <w:r w:rsidR="00F10690" w:rsidRPr="00892B36">
        <w:rPr>
          <w:rFonts w:ascii="Palatino Linotype" w:hAnsi="Palatino Linotype"/>
          <w:i/>
          <w:iCs/>
          <w:color w:val="000000" w:themeColor="text1"/>
          <w:sz w:val="18"/>
          <w:szCs w:val="18"/>
        </w:rPr>
        <w:t xml:space="preserve"> kinase/NF-</w:t>
      </w:r>
      <w:proofErr w:type="spellStart"/>
      <w:r w:rsidR="00F10690" w:rsidRPr="00892B36">
        <w:rPr>
          <w:rFonts w:ascii="Palatino Linotype" w:hAnsi="Palatino Linotype"/>
          <w:i/>
          <w:iCs/>
          <w:color w:val="000000" w:themeColor="text1"/>
          <w:sz w:val="18"/>
          <w:szCs w:val="18"/>
        </w:rPr>
        <w:t>kappaB</w:t>
      </w:r>
      <w:proofErr w:type="spellEnd"/>
      <w:r w:rsidR="00F10690" w:rsidRPr="00892B36">
        <w:rPr>
          <w:rFonts w:ascii="Palatino Linotype" w:hAnsi="Palatino Linotype"/>
          <w:i/>
          <w:iCs/>
          <w:color w:val="000000" w:themeColor="text1"/>
          <w:sz w:val="18"/>
          <w:szCs w:val="18"/>
        </w:rPr>
        <w:t xml:space="preserve"> Signaling</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GO:0043122</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Response To Interleukin-1</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GO:0070555</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Regulation Of Chemokine (C-X-C Motif) Ligand 2 Production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GO:2000341</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Cell Surface Toll-Like Receptor Signaling Pathway</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GO:0140895</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 xml:space="preserve">Toll-Like Receptor 4 Signaling Pathway </w:t>
      </w:r>
      <w:r w:rsidR="00F10690" w:rsidRPr="00892B36">
        <w:rPr>
          <w:rFonts w:ascii="Palatino Linotype" w:hAnsi="Palatino Linotype"/>
          <w:color w:val="000000" w:themeColor="text1"/>
          <w:sz w:val="18"/>
          <w:szCs w:val="18"/>
        </w:rPr>
        <w:t>(</w:t>
      </w:r>
      <w:r w:rsidR="00F10690" w:rsidRPr="00892B36">
        <w:rPr>
          <w:rFonts w:ascii="Palatino Linotype" w:hAnsi="Palatino Linotype"/>
          <w:i/>
          <w:iCs/>
          <w:color w:val="000000" w:themeColor="text1"/>
          <w:sz w:val="18"/>
          <w:szCs w:val="18"/>
        </w:rPr>
        <w:t>GO:0034142</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Positive Regulation Of Interleukin-8 Production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GO:0032757</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Positive Regulation Of T Cell Cytokine Production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GO:0002726</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Neutrophil Chemotaxis</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GO:0030593</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Apoptotic Process</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GO:0006915</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 xml:space="preserve">Positive Regulation Of Interleukin-6 Production </w:t>
      </w:r>
      <w:r w:rsidR="00F10690" w:rsidRPr="00892B36">
        <w:rPr>
          <w:rFonts w:ascii="Palatino Linotype" w:hAnsi="Palatino Linotype"/>
          <w:color w:val="000000" w:themeColor="text1"/>
          <w:sz w:val="18"/>
          <w:szCs w:val="18"/>
        </w:rPr>
        <w:t>(</w:t>
      </w:r>
      <w:r w:rsidR="00F10690" w:rsidRPr="00892B36">
        <w:rPr>
          <w:rFonts w:ascii="Palatino Linotype" w:hAnsi="Palatino Linotype"/>
          <w:i/>
          <w:iCs/>
          <w:color w:val="000000" w:themeColor="text1"/>
          <w:sz w:val="18"/>
          <w:szCs w:val="18"/>
        </w:rPr>
        <w:t>GO:0032755</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Regulation Of Interleukin-8 Production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GO:0032677</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Positive Regulation Of Monocyte Chemotactic Protein-1 Production</w:t>
      </w:r>
      <w:r w:rsidR="00F10690" w:rsidRPr="00892B36">
        <w:rPr>
          <w:rFonts w:ascii="Palatino Linotype" w:hAnsi="Palatino Linotype"/>
          <w:color w:val="000000" w:themeColor="text1"/>
          <w:sz w:val="18"/>
          <w:szCs w:val="18"/>
        </w:rPr>
        <w:t xml:space="preserve"> (</w:t>
      </w:r>
      <w:r w:rsidR="00F10690" w:rsidRPr="00892B36">
        <w:rPr>
          <w:rFonts w:ascii="Palatino Linotype" w:hAnsi="Palatino Linotype"/>
          <w:i/>
          <w:iCs/>
          <w:color w:val="000000" w:themeColor="text1"/>
          <w:sz w:val="18"/>
          <w:szCs w:val="18"/>
        </w:rPr>
        <w:t>GO:0071639</w:t>
      </w:r>
      <w:r w:rsidR="00F10690" w:rsidRPr="00892B36">
        <w:rPr>
          <w:rFonts w:ascii="Palatino Linotype" w:hAnsi="Palatino Linotype"/>
          <w:color w:val="000000" w:themeColor="text1"/>
          <w:sz w:val="18"/>
          <w:szCs w:val="18"/>
        </w:rPr>
        <w:t xml:space="preserve">). We may say that the unique GOs identified by </w:t>
      </w:r>
      <w:proofErr w:type="spellStart"/>
      <w:r w:rsidR="00F10690" w:rsidRPr="00892B36">
        <w:rPr>
          <w:rFonts w:ascii="Palatino Linotype" w:hAnsi="Palatino Linotype"/>
          <w:color w:val="000000" w:themeColor="text1"/>
          <w:sz w:val="18"/>
          <w:szCs w:val="18"/>
        </w:rPr>
        <w:t>DyGAF</w:t>
      </w:r>
      <w:proofErr w:type="spellEnd"/>
      <w:r w:rsidR="00F10690" w:rsidRPr="00892B36">
        <w:rPr>
          <w:rFonts w:ascii="Palatino Linotype" w:hAnsi="Palatino Linotype"/>
          <w:color w:val="000000" w:themeColor="text1"/>
          <w:sz w:val="18"/>
          <w:szCs w:val="18"/>
        </w:rPr>
        <w:t xml:space="preserve"> mostly involved in the host’s immune response and inflammation response to the virus. </w:t>
      </w:r>
    </w:p>
    <w:p w14:paraId="1CFF4909" w14:textId="18E9F30E" w:rsidR="00426121" w:rsidRPr="00892B36" w:rsidRDefault="00E84F22" w:rsidP="00B1617F">
      <w:pPr>
        <w:pStyle w:val="NormalWeb"/>
        <w:spacing w:before="0" w:beforeAutospacing="0" w:after="0" w:afterAutospacing="0"/>
        <w:jc w:val="both"/>
        <w:rPr>
          <w:rFonts w:ascii="Palatino Linotype" w:hAnsi="Palatino Linotype"/>
          <w:b/>
          <w:bCs/>
          <w:color w:val="000000" w:themeColor="text1"/>
          <w:sz w:val="18"/>
          <w:szCs w:val="18"/>
        </w:rPr>
      </w:pPr>
      <w:r w:rsidRPr="00892B36">
        <w:rPr>
          <w:rFonts w:ascii="Palatino Linotype" w:hAnsi="Palatino Linotype"/>
          <w:b/>
          <w:bCs/>
          <w:color w:val="000000" w:themeColor="text1"/>
          <w:sz w:val="18"/>
          <w:szCs w:val="18"/>
        </w:rPr>
        <w:t xml:space="preserve">Mutual information and classification of </w:t>
      </w:r>
      <w:proofErr w:type="spellStart"/>
      <w:r w:rsidR="00426121" w:rsidRPr="00892B36">
        <w:rPr>
          <w:rFonts w:ascii="Palatino Linotype" w:hAnsi="Palatino Linotype"/>
          <w:b/>
          <w:bCs/>
          <w:color w:val="000000" w:themeColor="text1"/>
          <w:sz w:val="18"/>
          <w:szCs w:val="18"/>
        </w:rPr>
        <w:t>DyGAF</w:t>
      </w:r>
      <w:proofErr w:type="spellEnd"/>
      <w:r w:rsidR="00426121" w:rsidRPr="00892B36">
        <w:rPr>
          <w:rFonts w:ascii="Palatino Linotype" w:hAnsi="Palatino Linotype"/>
          <w:b/>
          <w:bCs/>
          <w:color w:val="000000" w:themeColor="text1"/>
          <w:sz w:val="18"/>
          <w:szCs w:val="18"/>
        </w:rPr>
        <w:t xml:space="preserve"> metric and other combination metrics </w:t>
      </w:r>
    </w:p>
    <w:p w14:paraId="214CFDE2" w14:textId="77777777" w:rsidR="00B1617F" w:rsidRPr="00892B36" w:rsidRDefault="00B1617F" w:rsidP="00B1617F">
      <w:pPr>
        <w:pStyle w:val="NormalWeb"/>
        <w:spacing w:before="0" w:beforeAutospacing="0" w:after="0" w:afterAutospacing="0"/>
        <w:jc w:val="both"/>
        <w:rPr>
          <w:rFonts w:ascii="Palatino Linotype" w:hAnsi="Palatino Linotype"/>
          <w:b/>
          <w:bCs/>
          <w:color w:val="000000" w:themeColor="text1"/>
          <w:sz w:val="10"/>
          <w:szCs w:val="10"/>
        </w:rPr>
      </w:pPr>
    </w:p>
    <w:p w14:paraId="0C88CFBC" w14:textId="100E78A9" w:rsidR="00865AE1" w:rsidRPr="00892B36" w:rsidRDefault="00620267" w:rsidP="00B1617F">
      <w:pPr>
        <w:pStyle w:val="NormalWeb"/>
        <w:spacing w:before="0" w:beforeAutospacing="0"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 xml:space="preserve">To integrate the weights derived from Models A and B in the </w:t>
      </w: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framework, we developed a novel metric, as defined in Equation 3. We also assessed established combination metrics such as Geometric Mean, </w:t>
      </w:r>
      <w:proofErr w:type="spellStart"/>
      <w:r w:rsidRPr="00892B36">
        <w:rPr>
          <w:rFonts w:ascii="Palatino Linotype" w:hAnsi="Palatino Linotype"/>
          <w:color w:val="000000" w:themeColor="text1"/>
          <w:sz w:val="18"/>
          <w:szCs w:val="18"/>
        </w:rPr>
        <w:t>Borda</w:t>
      </w:r>
      <w:proofErr w:type="spellEnd"/>
      <w:r w:rsidRPr="00892B36">
        <w:rPr>
          <w:rFonts w:ascii="Palatino Linotype" w:hAnsi="Palatino Linotype"/>
          <w:color w:val="000000" w:themeColor="text1"/>
          <w:sz w:val="18"/>
          <w:szCs w:val="18"/>
        </w:rPr>
        <w:t xml:space="preserve"> Count, and Harmonic Mean using a RF and Mutual Information (MI) based approach, applied to the top 100 features identified from each method. The RF analysis evaluated the classification effectiveness of each metric, whereas the MI analysis quantified the amount of retained information after amalgamation. As demonstrated in </w:t>
      </w:r>
      <w:r w:rsidRPr="002F5256">
        <w:rPr>
          <w:rFonts w:ascii="Palatino Linotype" w:hAnsi="Palatino Linotype"/>
          <w:color w:val="000000" w:themeColor="text1"/>
          <w:sz w:val="18"/>
          <w:szCs w:val="18"/>
          <w:highlight w:val="yellow"/>
        </w:rPr>
        <w:t xml:space="preserve">Table </w:t>
      </w:r>
      <w:r w:rsidR="00DC535E" w:rsidRPr="002F5256">
        <w:rPr>
          <w:rFonts w:ascii="Palatino Linotype" w:hAnsi="Palatino Linotype"/>
          <w:color w:val="000000" w:themeColor="text1"/>
          <w:sz w:val="18"/>
          <w:szCs w:val="18"/>
          <w:highlight w:val="yellow"/>
        </w:rPr>
        <w:t>S</w:t>
      </w:r>
      <w:r w:rsidRPr="002F5256">
        <w:rPr>
          <w:rFonts w:ascii="Palatino Linotype" w:hAnsi="Palatino Linotype"/>
          <w:color w:val="000000" w:themeColor="text1"/>
          <w:sz w:val="18"/>
          <w:szCs w:val="18"/>
          <w:highlight w:val="yellow"/>
        </w:rPr>
        <w:t>1</w:t>
      </w:r>
      <w:r w:rsidRPr="00892B36">
        <w:rPr>
          <w:rFonts w:ascii="Palatino Linotype" w:hAnsi="Palatino Linotype"/>
          <w:color w:val="000000" w:themeColor="text1"/>
          <w:sz w:val="18"/>
          <w:szCs w:val="18"/>
        </w:rPr>
        <w:t>, our findings indicate that our custom metric not only enhances classification accuracy but also maintains more information compared to traditional metrics, underscoring its efficacy in complex dataset analysis.</w:t>
      </w:r>
    </w:p>
    <w:p w14:paraId="77962893" w14:textId="6550B279" w:rsidR="006F4E4C" w:rsidRPr="00892B36" w:rsidRDefault="006F4E4C" w:rsidP="00B1617F">
      <w:pPr>
        <w:pStyle w:val="NormalWeb"/>
        <w:spacing w:before="240" w:beforeAutospacing="0" w:after="0" w:afterAutospacing="0"/>
        <w:jc w:val="both"/>
        <w:rPr>
          <w:rFonts w:ascii="Palatino Linotype" w:hAnsi="Palatino Linotype"/>
          <w:color w:val="000000" w:themeColor="text1"/>
          <w:sz w:val="18"/>
          <w:szCs w:val="18"/>
        </w:rPr>
      </w:pPr>
      <w:r w:rsidRPr="00892B36">
        <w:rPr>
          <w:rFonts w:ascii="Palatino Linotype" w:hAnsi="Palatino Linotype"/>
          <w:b/>
          <w:bCs/>
          <w:color w:val="000000" w:themeColor="text1"/>
          <w:sz w:val="18"/>
          <w:szCs w:val="18"/>
        </w:rPr>
        <w:t xml:space="preserve">Table </w:t>
      </w:r>
      <w:r w:rsidR="00D6061B" w:rsidRPr="00DC535E">
        <w:rPr>
          <w:rFonts w:ascii="Palatino Linotype" w:hAnsi="Palatino Linotype"/>
          <w:b/>
          <w:bCs/>
          <w:color w:val="000000" w:themeColor="text1"/>
          <w:sz w:val="18"/>
          <w:szCs w:val="18"/>
          <w:highlight w:val="yellow"/>
        </w:rPr>
        <w:t>S</w:t>
      </w:r>
      <w:r w:rsidRPr="00DC535E">
        <w:rPr>
          <w:rFonts w:ascii="Palatino Linotype" w:hAnsi="Palatino Linotype"/>
          <w:b/>
          <w:bCs/>
          <w:color w:val="000000" w:themeColor="text1"/>
          <w:sz w:val="18"/>
          <w:szCs w:val="18"/>
          <w:highlight w:val="yellow"/>
        </w:rPr>
        <w:t>1</w:t>
      </w:r>
      <w:r w:rsidRPr="00892B36">
        <w:rPr>
          <w:rFonts w:ascii="Palatino Linotype" w:hAnsi="Palatino Linotype"/>
          <w:b/>
          <w:bCs/>
          <w:color w:val="000000" w:themeColor="text1"/>
          <w:sz w:val="18"/>
          <w:szCs w:val="18"/>
        </w:rPr>
        <w:t xml:space="preserve">: </w:t>
      </w:r>
      <w:r w:rsidR="0053489F" w:rsidRPr="00892B36">
        <w:rPr>
          <w:rFonts w:ascii="Palatino Linotype" w:hAnsi="Palatino Linotype"/>
          <w:b/>
          <w:bCs/>
          <w:color w:val="000000" w:themeColor="text1"/>
          <w:sz w:val="18"/>
          <w:szCs w:val="18"/>
        </w:rPr>
        <w:t>Comparative Analysis of Combination Metrics Using Random Forest and Mutual Information Approaches</w:t>
      </w:r>
      <w:r w:rsidR="00FB1E61" w:rsidRPr="00892B36">
        <w:rPr>
          <w:rFonts w:ascii="Palatino Linotype" w:hAnsi="Palatino Linotype"/>
          <w:b/>
          <w:bCs/>
          <w:color w:val="000000" w:themeColor="text1"/>
          <w:sz w:val="18"/>
          <w:szCs w:val="18"/>
        </w:rPr>
        <w:t>.</w:t>
      </w:r>
      <w:r w:rsidR="0084209D" w:rsidRPr="00892B36">
        <w:rPr>
          <w:rFonts w:ascii="Palatino Linotype" w:hAnsi="Palatino Linotype"/>
          <w:color w:val="000000" w:themeColor="text1"/>
          <w:sz w:val="18"/>
          <w:szCs w:val="18"/>
        </w:rPr>
        <w:t xml:space="preserve"> </w:t>
      </w:r>
      <w:r w:rsidR="00B1617F" w:rsidRPr="00892B36">
        <w:rPr>
          <w:rFonts w:ascii="Palatino Linotype" w:hAnsi="Palatino Linotype"/>
          <w:color w:val="000000" w:themeColor="text1"/>
          <w:sz w:val="18"/>
          <w:szCs w:val="18"/>
        </w:rPr>
        <w:t>Total Mutual Information Contained in the Dataset: 439.82</w:t>
      </w:r>
    </w:p>
    <w:tbl>
      <w:tblPr>
        <w:tblStyle w:val="TableGrid"/>
        <w:tblpPr w:leftFromText="180" w:rightFromText="180" w:vertAnchor="text" w:horzAnchor="page" w:tblpX="1415" w:tblpY="24"/>
        <w:tblW w:w="9350" w:type="dxa"/>
        <w:tblLook w:val="04A0" w:firstRow="1" w:lastRow="0" w:firstColumn="1" w:lastColumn="0" w:noHBand="0" w:noVBand="1"/>
      </w:tblPr>
      <w:tblGrid>
        <w:gridCol w:w="1870"/>
        <w:gridCol w:w="1870"/>
        <w:gridCol w:w="1870"/>
        <w:gridCol w:w="1870"/>
        <w:gridCol w:w="1870"/>
      </w:tblGrid>
      <w:tr w:rsidR="00892B36" w:rsidRPr="00892B36" w14:paraId="40D3E1C5" w14:textId="77777777" w:rsidTr="006F4E4C">
        <w:tc>
          <w:tcPr>
            <w:tcW w:w="1870" w:type="dxa"/>
          </w:tcPr>
          <w:p w14:paraId="569F81F7" w14:textId="77777777" w:rsidR="006F4E4C" w:rsidRPr="00892B36" w:rsidRDefault="006F4E4C" w:rsidP="001339F0">
            <w:pPr>
              <w:pStyle w:val="NormalWeb"/>
              <w:spacing w:after="0" w:afterAutospacing="0"/>
              <w:jc w:val="both"/>
              <w:rPr>
                <w:rFonts w:ascii="Palatino Linotype" w:hAnsi="Palatino Linotype"/>
                <w:color w:val="000000" w:themeColor="text1"/>
                <w:sz w:val="18"/>
                <w:szCs w:val="18"/>
              </w:rPr>
            </w:pPr>
          </w:p>
        </w:tc>
        <w:tc>
          <w:tcPr>
            <w:tcW w:w="1870" w:type="dxa"/>
          </w:tcPr>
          <w:p w14:paraId="4049D698" w14:textId="77777777" w:rsidR="006F4E4C" w:rsidRPr="00892B36" w:rsidRDefault="00A05EA2" w:rsidP="001339F0">
            <w:pPr>
              <w:pStyle w:val="NormalWeb"/>
              <w:spacing w:after="0" w:afterAutospacing="0"/>
              <w:jc w:val="both"/>
              <w:rPr>
                <w:rFonts w:ascii="Palatino Linotype" w:hAnsi="Palatino Linotype"/>
                <w:color w:val="000000" w:themeColor="text1"/>
                <w:sz w:val="18"/>
                <w:szCs w:val="18"/>
              </w:rPr>
            </w:pPr>
            <w:proofErr w:type="spellStart"/>
            <w:r w:rsidRPr="00892B36">
              <w:rPr>
                <w:rFonts w:ascii="Palatino Linotype" w:hAnsi="Palatino Linotype"/>
                <w:color w:val="000000" w:themeColor="text1"/>
                <w:sz w:val="18"/>
                <w:szCs w:val="18"/>
              </w:rPr>
              <w:t>DyGAF</w:t>
            </w:r>
            <w:proofErr w:type="spellEnd"/>
            <w:r w:rsidR="006F4E4C" w:rsidRPr="00892B36">
              <w:rPr>
                <w:rFonts w:ascii="Palatino Linotype" w:hAnsi="Palatino Linotype"/>
                <w:color w:val="000000" w:themeColor="text1"/>
                <w:sz w:val="18"/>
                <w:szCs w:val="18"/>
              </w:rPr>
              <w:t xml:space="preserve"> Metric</w:t>
            </w:r>
          </w:p>
        </w:tc>
        <w:tc>
          <w:tcPr>
            <w:tcW w:w="1870" w:type="dxa"/>
          </w:tcPr>
          <w:p w14:paraId="6BBA5457" w14:textId="77777777" w:rsidR="006F4E4C" w:rsidRPr="00892B36" w:rsidRDefault="006F4E4C"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Geometric Mean</w:t>
            </w:r>
          </w:p>
        </w:tc>
        <w:tc>
          <w:tcPr>
            <w:tcW w:w="1870" w:type="dxa"/>
          </w:tcPr>
          <w:p w14:paraId="6642869D" w14:textId="77777777" w:rsidR="006F4E4C" w:rsidRPr="00892B36" w:rsidRDefault="006F4E4C" w:rsidP="001339F0">
            <w:pPr>
              <w:pStyle w:val="NormalWeb"/>
              <w:spacing w:after="0" w:afterAutospacing="0"/>
              <w:jc w:val="both"/>
              <w:rPr>
                <w:rFonts w:ascii="Palatino Linotype" w:hAnsi="Palatino Linotype"/>
                <w:color w:val="000000" w:themeColor="text1"/>
                <w:sz w:val="18"/>
                <w:szCs w:val="18"/>
              </w:rPr>
            </w:pPr>
            <w:proofErr w:type="spellStart"/>
            <w:r w:rsidRPr="00892B36">
              <w:rPr>
                <w:rFonts w:ascii="Palatino Linotype" w:hAnsi="Palatino Linotype"/>
                <w:color w:val="000000" w:themeColor="text1"/>
                <w:sz w:val="18"/>
                <w:szCs w:val="18"/>
              </w:rPr>
              <w:t>Borda</w:t>
            </w:r>
            <w:proofErr w:type="spellEnd"/>
            <w:r w:rsidRPr="00892B36">
              <w:rPr>
                <w:rFonts w:ascii="Palatino Linotype" w:hAnsi="Palatino Linotype"/>
                <w:color w:val="000000" w:themeColor="text1"/>
                <w:sz w:val="18"/>
                <w:szCs w:val="18"/>
              </w:rPr>
              <w:t xml:space="preserve"> Count</w:t>
            </w:r>
          </w:p>
        </w:tc>
        <w:tc>
          <w:tcPr>
            <w:tcW w:w="1870" w:type="dxa"/>
          </w:tcPr>
          <w:p w14:paraId="21331C5D" w14:textId="77777777" w:rsidR="006F4E4C" w:rsidRPr="00892B36" w:rsidRDefault="006F4E4C"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Harmonic Mean</w:t>
            </w:r>
          </w:p>
        </w:tc>
      </w:tr>
      <w:tr w:rsidR="00892B36" w:rsidRPr="00892B36" w14:paraId="5A0385D4" w14:textId="77777777" w:rsidTr="006F4E4C">
        <w:tc>
          <w:tcPr>
            <w:tcW w:w="1870" w:type="dxa"/>
          </w:tcPr>
          <w:p w14:paraId="1B890F12" w14:textId="77777777" w:rsidR="006F4E4C" w:rsidRPr="00892B36" w:rsidRDefault="006F4E4C"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Random Forest</w:t>
            </w:r>
          </w:p>
        </w:tc>
        <w:tc>
          <w:tcPr>
            <w:tcW w:w="1870" w:type="dxa"/>
          </w:tcPr>
          <w:p w14:paraId="7413EA78" w14:textId="77777777" w:rsidR="006F4E4C" w:rsidRPr="00892B36" w:rsidRDefault="006F4E4C"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94.23%</w:t>
            </w:r>
          </w:p>
        </w:tc>
        <w:tc>
          <w:tcPr>
            <w:tcW w:w="1870" w:type="dxa"/>
          </w:tcPr>
          <w:p w14:paraId="3B1701FE" w14:textId="77777777" w:rsidR="006F4E4C" w:rsidRPr="00892B36" w:rsidRDefault="00FB1E61"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92.31</w:t>
            </w:r>
            <w:r w:rsidR="00620267" w:rsidRPr="00892B36">
              <w:rPr>
                <w:rFonts w:ascii="Palatino Linotype" w:hAnsi="Palatino Linotype"/>
                <w:color w:val="000000" w:themeColor="text1"/>
                <w:sz w:val="18"/>
                <w:szCs w:val="18"/>
              </w:rPr>
              <w:t>%</w:t>
            </w:r>
          </w:p>
        </w:tc>
        <w:tc>
          <w:tcPr>
            <w:tcW w:w="1870" w:type="dxa"/>
          </w:tcPr>
          <w:p w14:paraId="7CB4459C" w14:textId="77777777" w:rsidR="006F4E4C" w:rsidRPr="00892B36" w:rsidRDefault="00FB1E61"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76.92</w:t>
            </w:r>
            <w:r w:rsidR="00620267" w:rsidRPr="00892B36">
              <w:rPr>
                <w:rFonts w:ascii="Palatino Linotype" w:hAnsi="Palatino Linotype"/>
                <w:color w:val="000000" w:themeColor="text1"/>
                <w:sz w:val="18"/>
                <w:szCs w:val="18"/>
              </w:rPr>
              <w:t>%</w:t>
            </w:r>
          </w:p>
        </w:tc>
        <w:tc>
          <w:tcPr>
            <w:tcW w:w="1870" w:type="dxa"/>
          </w:tcPr>
          <w:p w14:paraId="2ADF77CC" w14:textId="77777777" w:rsidR="006F4E4C" w:rsidRPr="00892B36" w:rsidRDefault="00FB1E61"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86.54</w:t>
            </w:r>
            <w:r w:rsidR="00620267" w:rsidRPr="00892B36">
              <w:rPr>
                <w:rFonts w:ascii="Palatino Linotype" w:hAnsi="Palatino Linotype"/>
                <w:color w:val="000000" w:themeColor="text1"/>
                <w:sz w:val="18"/>
                <w:szCs w:val="18"/>
              </w:rPr>
              <w:t>%</w:t>
            </w:r>
          </w:p>
        </w:tc>
      </w:tr>
      <w:tr w:rsidR="00892B36" w:rsidRPr="00892B36" w14:paraId="4C3F01B5" w14:textId="77777777" w:rsidTr="006F4E4C">
        <w:tc>
          <w:tcPr>
            <w:tcW w:w="1870" w:type="dxa"/>
          </w:tcPr>
          <w:p w14:paraId="5432031C" w14:textId="77777777" w:rsidR="006E1752" w:rsidRPr="00892B36" w:rsidRDefault="006E1752"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Mutual Information</w:t>
            </w:r>
          </w:p>
        </w:tc>
        <w:tc>
          <w:tcPr>
            <w:tcW w:w="1870" w:type="dxa"/>
          </w:tcPr>
          <w:p w14:paraId="1DAE34FF" w14:textId="77777777" w:rsidR="006E1752" w:rsidRPr="00892B36" w:rsidRDefault="00FB1E61"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17.13</w:t>
            </w:r>
          </w:p>
        </w:tc>
        <w:tc>
          <w:tcPr>
            <w:tcW w:w="1870" w:type="dxa"/>
          </w:tcPr>
          <w:p w14:paraId="3F33DCB9" w14:textId="77777777" w:rsidR="006E1752" w:rsidRPr="00892B36" w:rsidRDefault="00FB1E61"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7.09</w:t>
            </w:r>
          </w:p>
        </w:tc>
        <w:tc>
          <w:tcPr>
            <w:tcW w:w="1870" w:type="dxa"/>
          </w:tcPr>
          <w:p w14:paraId="43A786FD" w14:textId="77777777" w:rsidR="006E1752" w:rsidRPr="00892B36" w:rsidRDefault="00FB1E61"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2.03</w:t>
            </w:r>
          </w:p>
        </w:tc>
        <w:tc>
          <w:tcPr>
            <w:tcW w:w="1870" w:type="dxa"/>
          </w:tcPr>
          <w:p w14:paraId="0CF27353" w14:textId="77777777" w:rsidR="006E1752" w:rsidRPr="00892B36" w:rsidRDefault="00FB1E61"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6.18</w:t>
            </w:r>
          </w:p>
        </w:tc>
      </w:tr>
    </w:tbl>
    <w:p w14:paraId="28314C54" w14:textId="25B5E0FA" w:rsidR="00436B85" w:rsidRPr="00892B36" w:rsidRDefault="00436B85" w:rsidP="001339F0">
      <w:pPr>
        <w:pStyle w:val="NormalWeb"/>
        <w:spacing w:before="240" w:beforeAutospacing="0" w:after="0" w:afterAutospacing="0"/>
        <w:jc w:val="both"/>
        <w:rPr>
          <w:rFonts w:ascii="Palatino Linotype" w:hAnsi="Palatino Linotype"/>
          <w:color w:val="000000" w:themeColor="text1"/>
          <w:sz w:val="18"/>
          <w:szCs w:val="18"/>
        </w:rPr>
      </w:pPr>
      <w:r w:rsidRPr="002F5256">
        <w:rPr>
          <w:rFonts w:ascii="Palatino Linotype" w:hAnsi="Palatino Linotype"/>
          <w:b/>
          <w:bCs/>
          <w:color w:val="000000" w:themeColor="text1"/>
          <w:sz w:val="18"/>
          <w:szCs w:val="18"/>
          <w:highlight w:val="yellow"/>
        </w:rPr>
        <w:lastRenderedPageBreak/>
        <w:t xml:space="preserve">Table </w:t>
      </w:r>
      <w:r w:rsidR="00D6061B" w:rsidRPr="002F5256">
        <w:rPr>
          <w:rFonts w:ascii="Palatino Linotype" w:hAnsi="Palatino Linotype"/>
          <w:b/>
          <w:bCs/>
          <w:color w:val="000000" w:themeColor="text1"/>
          <w:sz w:val="18"/>
          <w:szCs w:val="18"/>
          <w:highlight w:val="yellow"/>
        </w:rPr>
        <w:t>S</w:t>
      </w:r>
      <w:r w:rsidRPr="002F5256">
        <w:rPr>
          <w:rFonts w:ascii="Palatino Linotype" w:hAnsi="Palatino Linotype"/>
          <w:b/>
          <w:bCs/>
          <w:color w:val="000000" w:themeColor="text1"/>
          <w:sz w:val="18"/>
          <w:szCs w:val="18"/>
          <w:highlight w:val="yellow"/>
        </w:rPr>
        <w:t xml:space="preserve">2: Comparative Analysis of Mutual Information Metrics </w:t>
      </w:r>
      <w:r w:rsidR="00B1617F" w:rsidRPr="002F5256">
        <w:rPr>
          <w:rFonts w:ascii="Palatino Linotype" w:hAnsi="Palatino Linotype"/>
          <w:b/>
          <w:bCs/>
          <w:color w:val="000000" w:themeColor="text1"/>
          <w:sz w:val="18"/>
          <w:szCs w:val="18"/>
          <w:highlight w:val="yellow"/>
        </w:rPr>
        <w:t>a</w:t>
      </w:r>
      <w:r w:rsidRPr="002F5256">
        <w:rPr>
          <w:rFonts w:ascii="Palatino Linotype" w:hAnsi="Palatino Linotype"/>
          <w:b/>
          <w:bCs/>
          <w:color w:val="000000" w:themeColor="text1"/>
          <w:sz w:val="18"/>
          <w:szCs w:val="18"/>
          <w:highlight w:val="yellow"/>
        </w:rPr>
        <w:t xml:space="preserve">cross </w:t>
      </w:r>
      <w:r w:rsidR="004E0D1D" w:rsidRPr="002F5256">
        <w:rPr>
          <w:rFonts w:ascii="Palatino Linotype" w:hAnsi="Palatino Linotype"/>
          <w:color w:val="000000" w:themeColor="text1"/>
          <w:sz w:val="18"/>
          <w:szCs w:val="18"/>
          <w:highlight w:val="yellow"/>
          <w:lang w:bidi="en-US"/>
        </w:rPr>
        <w:t>Dynamic Gene Attention Focus</w:t>
      </w:r>
      <w:r w:rsidR="004E0D1D" w:rsidRPr="002F5256">
        <w:rPr>
          <w:rFonts w:ascii="Palatino Linotype" w:hAnsi="Palatino Linotype"/>
          <w:color w:val="000000" w:themeColor="text1"/>
          <w:sz w:val="18"/>
          <w:szCs w:val="18"/>
          <w:highlight w:val="yellow"/>
          <w:lang w:bidi="en-US"/>
        </w:rPr>
        <w:t xml:space="preserve"> (</w:t>
      </w:r>
      <w:proofErr w:type="spellStart"/>
      <w:r w:rsidRPr="002F5256">
        <w:rPr>
          <w:rFonts w:ascii="Palatino Linotype" w:hAnsi="Palatino Linotype"/>
          <w:b/>
          <w:bCs/>
          <w:color w:val="000000" w:themeColor="text1"/>
          <w:sz w:val="18"/>
          <w:szCs w:val="18"/>
          <w:highlight w:val="yellow"/>
        </w:rPr>
        <w:t>DyGAF</w:t>
      </w:r>
      <w:proofErr w:type="spellEnd"/>
      <w:r w:rsidR="004E0D1D" w:rsidRPr="002F5256">
        <w:rPr>
          <w:rFonts w:ascii="Palatino Linotype" w:hAnsi="Palatino Linotype"/>
          <w:b/>
          <w:bCs/>
          <w:color w:val="000000" w:themeColor="text1"/>
          <w:sz w:val="18"/>
          <w:szCs w:val="18"/>
          <w:highlight w:val="yellow"/>
        </w:rPr>
        <w:t>)</w:t>
      </w:r>
      <w:r w:rsidRPr="002F5256">
        <w:rPr>
          <w:rFonts w:ascii="Palatino Linotype" w:hAnsi="Palatino Linotype"/>
          <w:b/>
          <w:bCs/>
          <w:color w:val="000000" w:themeColor="text1"/>
          <w:sz w:val="18"/>
          <w:szCs w:val="18"/>
          <w:highlight w:val="yellow"/>
        </w:rPr>
        <w:t xml:space="preserve"> Combined, </w:t>
      </w:r>
      <w:proofErr w:type="spellStart"/>
      <w:r w:rsidRPr="002F5256">
        <w:rPr>
          <w:rFonts w:ascii="Palatino Linotype" w:hAnsi="Palatino Linotype"/>
          <w:b/>
          <w:bCs/>
          <w:color w:val="000000" w:themeColor="text1"/>
          <w:sz w:val="18"/>
          <w:szCs w:val="18"/>
          <w:highlight w:val="yellow"/>
        </w:rPr>
        <w:t>DyGAF</w:t>
      </w:r>
      <w:proofErr w:type="spellEnd"/>
      <w:r w:rsidRPr="002F5256">
        <w:rPr>
          <w:rFonts w:ascii="Palatino Linotype" w:hAnsi="Palatino Linotype"/>
          <w:b/>
          <w:bCs/>
          <w:color w:val="000000" w:themeColor="text1"/>
          <w:sz w:val="18"/>
          <w:szCs w:val="18"/>
          <w:highlight w:val="yellow"/>
        </w:rPr>
        <w:t xml:space="preserve"> Model A (Independent), </w:t>
      </w:r>
      <w:proofErr w:type="spellStart"/>
      <w:r w:rsidRPr="002F5256">
        <w:rPr>
          <w:rFonts w:ascii="Palatino Linotype" w:hAnsi="Palatino Linotype"/>
          <w:b/>
          <w:bCs/>
          <w:color w:val="000000" w:themeColor="text1"/>
          <w:sz w:val="18"/>
          <w:szCs w:val="18"/>
          <w:highlight w:val="yellow"/>
        </w:rPr>
        <w:t>DyGAF</w:t>
      </w:r>
      <w:proofErr w:type="spellEnd"/>
      <w:r w:rsidRPr="002F5256">
        <w:rPr>
          <w:rFonts w:ascii="Palatino Linotype" w:hAnsi="Palatino Linotype"/>
          <w:b/>
          <w:bCs/>
          <w:color w:val="000000" w:themeColor="text1"/>
          <w:sz w:val="18"/>
          <w:szCs w:val="18"/>
          <w:highlight w:val="yellow"/>
        </w:rPr>
        <w:t xml:space="preserve"> Model B (Dependent) and </w:t>
      </w:r>
      <w:proofErr w:type="spellStart"/>
      <w:r w:rsidRPr="002F5256">
        <w:rPr>
          <w:rFonts w:ascii="Palatino Linotype" w:hAnsi="Palatino Linotype"/>
          <w:b/>
          <w:bCs/>
          <w:color w:val="000000" w:themeColor="text1"/>
          <w:sz w:val="18"/>
          <w:szCs w:val="18"/>
          <w:highlight w:val="yellow"/>
        </w:rPr>
        <w:t>DyGAF</w:t>
      </w:r>
      <w:proofErr w:type="spellEnd"/>
      <w:r w:rsidRPr="002F5256">
        <w:rPr>
          <w:rFonts w:ascii="Palatino Linotype" w:hAnsi="Palatino Linotype"/>
          <w:b/>
          <w:bCs/>
          <w:color w:val="000000" w:themeColor="text1"/>
          <w:sz w:val="18"/>
          <w:szCs w:val="18"/>
          <w:highlight w:val="yellow"/>
        </w:rPr>
        <w:t xml:space="preserve"> </w:t>
      </w:r>
      <w:r w:rsidR="004E0D1D" w:rsidRPr="002F5256">
        <w:rPr>
          <w:rFonts w:ascii="Palatino Linotype" w:hAnsi="Palatino Linotype"/>
          <w:color w:val="000000" w:themeColor="text1"/>
          <w:sz w:val="18"/>
          <w:szCs w:val="18"/>
          <w:highlight w:val="yellow"/>
          <w:lang w:bidi="en-US"/>
        </w:rPr>
        <w:t>Differential Expression Analysis</w:t>
      </w:r>
      <w:r w:rsidR="004E0D1D" w:rsidRPr="002F5256">
        <w:rPr>
          <w:rFonts w:ascii="Palatino Linotype" w:hAnsi="Palatino Linotype"/>
          <w:b/>
          <w:bCs/>
          <w:color w:val="000000" w:themeColor="text1"/>
          <w:sz w:val="18"/>
          <w:szCs w:val="18"/>
          <w:highlight w:val="yellow"/>
        </w:rPr>
        <w:t xml:space="preserve"> (</w:t>
      </w:r>
      <w:r w:rsidRPr="002F5256">
        <w:rPr>
          <w:rFonts w:ascii="Palatino Linotype" w:hAnsi="Palatino Linotype"/>
          <w:b/>
          <w:bCs/>
          <w:color w:val="000000" w:themeColor="text1"/>
          <w:sz w:val="18"/>
          <w:szCs w:val="18"/>
          <w:highlight w:val="yellow"/>
        </w:rPr>
        <w:t>DEA</w:t>
      </w:r>
      <w:r w:rsidR="004E0D1D" w:rsidRPr="002F5256">
        <w:rPr>
          <w:rFonts w:ascii="Palatino Linotype" w:hAnsi="Palatino Linotype"/>
          <w:b/>
          <w:bCs/>
          <w:color w:val="000000" w:themeColor="text1"/>
          <w:sz w:val="18"/>
          <w:szCs w:val="18"/>
          <w:highlight w:val="yellow"/>
        </w:rPr>
        <w:t>)</w:t>
      </w:r>
      <w:r w:rsidRPr="002F5256">
        <w:rPr>
          <w:rFonts w:ascii="Palatino Linotype" w:hAnsi="Palatino Linotype"/>
          <w:b/>
          <w:bCs/>
          <w:color w:val="000000" w:themeColor="text1"/>
          <w:sz w:val="18"/>
          <w:szCs w:val="18"/>
          <w:highlight w:val="yellow"/>
        </w:rPr>
        <w:t>.</w:t>
      </w:r>
      <w:r w:rsidR="0084209D" w:rsidRPr="002F5256">
        <w:rPr>
          <w:rFonts w:ascii="Palatino Linotype" w:hAnsi="Palatino Linotype"/>
          <w:color w:val="000000" w:themeColor="text1"/>
          <w:sz w:val="18"/>
          <w:szCs w:val="18"/>
          <w:highlight w:val="yellow"/>
        </w:rPr>
        <w:t xml:space="preserve"> Total Mutual Information Contained in the Dataset: 439.82</w:t>
      </w:r>
    </w:p>
    <w:tbl>
      <w:tblPr>
        <w:tblStyle w:val="TableGrid"/>
        <w:tblpPr w:leftFromText="180" w:rightFromText="180" w:vertAnchor="text" w:horzAnchor="page" w:tblpX="1415" w:tblpY="24"/>
        <w:tblW w:w="9350" w:type="dxa"/>
        <w:tblLook w:val="04A0" w:firstRow="1" w:lastRow="0" w:firstColumn="1" w:lastColumn="0" w:noHBand="0" w:noVBand="1"/>
      </w:tblPr>
      <w:tblGrid>
        <w:gridCol w:w="1870"/>
        <w:gridCol w:w="2535"/>
        <w:gridCol w:w="1890"/>
        <w:gridCol w:w="1800"/>
        <w:gridCol w:w="1255"/>
      </w:tblGrid>
      <w:tr w:rsidR="00892B36" w:rsidRPr="00892B36" w14:paraId="6DDD27ED" w14:textId="77777777" w:rsidTr="00866774">
        <w:tc>
          <w:tcPr>
            <w:tcW w:w="1870" w:type="dxa"/>
          </w:tcPr>
          <w:p w14:paraId="064A089D" w14:textId="77777777" w:rsidR="00436B85" w:rsidRPr="00892B36" w:rsidRDefault="00436B85" w:rsidP="001339F0">
            <w:pPr>
              <w:pStyle w:val="NormalWeb"/>
              <w:spacing w:before="0" w:beforeAutospacing="0" w:after="0" w:afterAutospacing="0"/>
              <w:jc w:val="both"/>
              <w:rPr>
                <w:rFonts w:ascii="Palatino Linotype" w:hAnsi="Palatino Linotype"/>
                <w:color w:val="000000" w:themeColor="text1"/>
                <w:sz w:val="18"/>
                <w:szCs w:val="18"/>
              </w:rPr>
            </w:pPr>
          </w:p>
        </w:tc>
        <w:tc>
          <w:tcPr>
            <w:tcW w:w="2535" w:type="dxa"/>
          </w:tcPr>
          <w:p w14:paraId="61391732" w14:textId="77777777" w:rsidR="00436B85" w:rsidRPr="00892B36" w:rsidRDefault="00436B85" w:rsidP="001339F0">
            <w:pPr>
              <w:pStyle w:val="NormalWeb"/>
              <w:spacing w:before="0" w:beforeAutospacing="0" w:after="0" w:afterAutospacing="0"/>
              <w:jc w:val="both"/>
              <w:rPr>
                <w:rFonts w:ascii="Palatino Linotype" w:hAnsi="Palatino Linotype"/>
                <w:color w:val="000000" w:themeColor="text1"/>
                <w:sz w:val="18"/>
                <w:szCs w:val="18"/>
              </w:rPr>
            </w:pP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w:t>
            </w:r>
            <w:r w:rsidR="00866774" w:rsidRPr="00892B36">
              <w:rPr>
                <w:rFonts w:ascii="Palatino Linotype" w:hAnsi="Palatino Linotype"/>
                <w:color w:val="000000" w:themeColor="text1"/>
                <w:sz w:val="18"/>
                <w:szCs w:val="18"/>
              </w:rPr>
              <w:t>Metric (</w:t>
            </w:r>
            <w:r w:rsidRPr="00892B36">
              <w:rPr>
                <w:rFonts w:ascii="Palatino Linotype" w:hAnsi="Palatino Linotype"/>
                <w:color w:val="000000" w:themeColor="text1"/>
                <w:sz w:val="18"/>
                <w:szCs w:val="18"/>
              </w:rPr>
              <w:t>Combined</w:t>
            </w:r>
            <w:r w:rsidR="00866774" w:rsidRPr="00892B36">
              <w:rPr>
                <w:rFonts w:ascii="Palatino Linotype" w:hAnsi="Palatino Linotype"/>
                <w:color w:val="000000" w:themeColor="text1"/>
                <w:sz w:val="18"/>
                <w:szCs w:val="18"/>
              </w:rPr>
              <w:t>)</w:t>
            </w:r>
          </w:p>
        </w:tc>
        <w:tc>
          <w:tcPr>
            <w:tcW w:w="1890" w:type="dxa"/>
          </w:tcPr>
          <w:p w14:paraId="663BC0CA" w14:textId="77777777" w:rsidR="00436B85" w:rsidRPr="00892B36" w:rsidRDefault="00436B85" w:rsidP="001339F0">
            <w:pPr>
              <w:pStyle w:val="NormalWeb"/>
              <w:spacing w:before="0" w:beforeAutospacing="0" w:after="0" w:afterAutospacing="0"/>
              <w:jc w:val="both"/>
              <w:rPr>
                <w:rFonts w:ascii="Palatino Linotype" w:hAnsi="Palatino Linotype"/>
                <w:color w:val="000000" w:themeColor="text1"/>
                <w:sz w:val="18"/>
                <w:szCs w:val="18"/>
              </w:rPr>
            </w:pP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Model A</w:t>
            </w:r>
          </w:p>
        </w:tc>
        <w:tc>
          <w:tcPr>
            <w:tcW w:w="1800" w:type="dxa"/>
          </w:tcPr>
          <w:p w14:paraId="1D5FE73E" w14:textId="77777777" w:rsidR="00436B85" w:rsidRPr="00892B36" w:rsidRDefault="00436B85" w:rsidP="001339F0">
            <w:pPr>
              <w:pStyle w:val="NormalWeb"/>
              <w:spacing w:before="0" w:beforeAutospacing="0" w:after="0" w:afterAutospacing="0"/>
              <w:jc w:val="both"/>
              <w:rPr>
                <w:rFonts w:ascii="Palatino Linotype" w:hAnsi="Palatino Linotype"/>
                <w:color w:val="000000" w:themeColor="text1"/>
                <w:sz w:val="18"/>
                <w:szCs w:val="18"/>
              </w:rPr>
            </w:pP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Model B</w:t>
            </w:r>
          </w:p>
        </w:tc>
        <w:tc>
          <w:tcPr>
            <w:tcW w:w="1255" w:type="dxa"/>
          </w:tcPr>
          <w:p w14:paraId="0336F18C" w14:textId="77777777" w:rsidR="00436B85" w:rsidRPr="00892B36" w:rsidRDefault="00436B85" w:rsidP="001339F0">
            <w:pPr>
              <w:pStyle w:val="NormalWeb"/>
              <w:spacing w:before="0" w:beforeAutospacing="0"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DEA</w:t>
            </w:r>
          </w:p>
        </w:tc>
      </w:tr>
      <w:tr w:rsidR="00892B36" w:rsidRPr="00892B36" w14:paraId="6F3871CA" w14:textId="77777777" w:rsidTr="00866774">
        <w:tc>
          <w:tcPr>
            <w:tcW w:w="1870" w:type="dxa"/>
          </w:tcPr>
          <w:p w14:paraId="5851A569" w14:textId="77777777" w:rsidR="0084209D" w:rsidRPr="00892B36" w:rsidRDefault="0084209D" w:rsidP="001339F0">
            <w:pPr>
              <w:pStyle w:val="NormalWeb"/>
              <w:spacing w:before="0" w:beforeAutospacing="0"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Mutual Information</w:t>
            </w:r>
          </w:p>
        </w:tc>
        <w:tc>
          <w:tcPr>
            <w:tcW w:w="2535" w:type="dxa"/>
          </w:tcPr>
          <w:p w14:paraId="4F4396B8" w14:textId="77777777" w:rsidR="0084209D" w:rsidRPr="00892B36" w:rsidRDefault="0084209D" w:rsidP="001339F0">
            <w:pPr>
              <w:pStyle w:val="NormalWeb"/>
              <w:spacing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17.13</w:t>
            </w:r>
          </w:p>
        </w:tc>
        <w:tc>
          <w:tcPr>
            <w:tcW w:w="1890" w:type="dxa"/>
          </w:tcPr>
          <w:p w14:paraId="6EF9E80F" w14:textId="77777777" w:rsidR="0084209D" w:rsidRPr="00892B36" w:rsidRDefault="0084209D" w:rsidP="001339F0">
            <w:pPr>
              <w:pStyle w:val="NormalWeb"/>
              <w:spacing w:before="0" w:beforeAutospacing="0"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3.84</w:t>
            </w:r>
          </w:p>
        </w:tc>
        <w:tc>
          <w:tcPr>
            <w:tcW w:w="1800" w:type="dxa"/>
          </w:tcPr>
          <w:p w14:paraId="044871C7" w14:textId="77777777" w:rsidR="0084209D" w:rsidRPr="00892B36" w:rsidRDefault="0084209D" w:rsidP="001339F0">
            <w:pPr>
              <w:pStyle w:val="NormalWeb"/>
              <w:spacing w:before="0" w:beforeAutospacing="0"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9.76</w:t>
            </w:r>
          </w:p>
        </w:tc>
        <w:tc>
          <w:tcPr>
            <w:tcW w:w="1255" w:type="dxa"/>
          </w:tcPr>
          <w:p w14:paraId="6A41892D" w14:textId="77777777" w:rsidR="0084209D" w:rsidRPr="00892B36" w:rsidRDefault="0084209D" w:rsidP="001339F0">
            <w:pPr>
              <w:pStyle w:val="NormalWeb"/>
              <w:spacing w:before="0" w:beforeAutospacing="0" w:after="0" w:afterAutospacing="0"/>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16.75</w:t>
            </w:r>
          </w:p>
        </w:tc>
      </w:tr>
    </w:tbl>
    <w:p w14:paraId="6372488B" w14:textId="03BD059E" w:rsidR="00631B20" w:rsidRPr="00892B36" w:rsidRDefault="00631B20" w:rsidP="00B1617F">
      <w:pPr>
        <w:pStyle w:val="NormalWeb"/>
        <w:spacing w:before="240" w:beforeAutospacing="0" w:after="0" w:afterAutospacing="0"/>
        <w:jc w:val="both"/>
        <w:rPr>
          <w:rFonts w:ascii="Palatino Linotype" w:hAnsi="Palatino Linotype"/>
          <w:color w:val="000000" w:themeColor="text1"/>
          <w:sz w:val="18"/>
          <w:szCs w:val="18"/>
        </w:rPr>
      </w:pPr>
      <w:r w:rsidRPr="002F5256">
        <w:rPr>
          <w:rFonts w:ascii="Palatino Linotype" w:hAnsi="Palatino Linotype"/>
          <w:color w:val="000000" w:themeColor="text1"/>
          <w:sz w:val="18"/>
          <w:szCs w:val="18"/>
          <w:highlight w:val="yellow"/>
        </w:rPr>
        <w:t xml:space="preserve">Table </w:t>
      </w:r>
      <w:r w:rsidR="00DC535E" w:rsidRPr="00EF47E9">
        <w:rPr>
          <w:rFonts w:ascii="Palatino Linotype" w:hAnsi="Palatino Linotype"/>
          <w:color w:val="000000" w:themeColor="text1"/>
          <w:sz w:val="18"/>
          <w:szCs w:val="18"/>
          <w:highlight w:val="yellow"/>
        </w:rPr>
        <w:t>S</w:t>
      </w:r>
      <w:r w:rsidRPr="00EF47E9">
        <w:rPr>
          <w:rFonts w:ascii="Palatino Linotype" w:hAnsi="Palatino Linotype"/>
          <w:color w:val="000000" w:themeColor="text1"/>
          <w:sz w:val="18"/>
          <w:szCs w:val="18"/>
          <w:highlight w:val="yellow"/>
        </w:rPr>
        <w:t>2</w:t>
      </w:r>
      <w:r w:rsidRPr="00892B36">
        <w:rPr>
          <w:rFonts w:ascii="Palatino Linotype" w:hAnsi="Palatino Linotype"/>
          <w:color w:val="000000" w:themeColor="text1"/>
          <w:sz w:val="18"/>
          <w:szCs w:val="18"/>
        </w:rPr>
        <w:t xml:space="preserve"> presents a comparative analysis of MI </w:t>
      </w:r>
      <w:r w:rsidR="00BE1CB3" w:rsidRPr="00892B36">
        <w:rPr>
          <w:rFonts w:ascii="Palatino Linotype" w:hAnsi="Palatino Linotype"/>
          <w:color w:val="000000" w:themeColor="text1"/>
          <w:sz w:val="18"/>
          <w:szCs w:val="18"/>
        </w:rPr>
        <w:t xml:space="preserve">calculated on the top 100 genes </w:t>
      </w:r>
      <w:r w:rsidRPr="00892B36">
        <w:rPr>
          <w:rFonts w:ascii="Palatino Linotype" w:hAnsi="Palatino Linotype"/>
          <w:color w:val="000000" w:themeColor="text1"/>
          <w:sz w:val="18"/>
          <w:szCs w:val="18"/>
        </w:rPr>
        <w:t xml:space="preserve">across </w:t>
      </w: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w:t>
      </w:r>
      <w:r w:rsidR="0063141F" w:rsidRPr="00892B36">
        <w:rPr>
          <w:rFonts w:ascii="Palatino Linotype" w:hAnsi="Palatino Linotype"/>
          <w:color w:val="000000" w:themeColor="text1"/>
          <w:sz w:val="18"/>
          <w:szCs w:val="18"/>
        </w:rPr>
        <w:t>c</w:t>
      </w:r>
      <w:r w:rsidRPr="00892B36">
        <w:rPr>
          <w:rFonts w:ascii="Palatino Linotype" w:hAnsi="Palatino Linotype"/>
          <w:color w:val="000000" w:themeColor="text1"/>
          <w:sz w:val="18"/>
          <w:szCs w:val="18"/>
        </w:rPr>
        <w:t xml:space="preserve">ombined, </w:t>
      </w: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Model A (Independent), </w:t>
      </w: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Model B (Dependent), and DEA. The total mutual information in the dataset is 439.82. We conducted individual and combined analyses using these models, where MI assessed the unique information contribution of each. The results, as shown in </w:t>
      </w:r>
      <w:r w:rsidRPr="002F5256">
        <w:rPr>
          <w:rFonts w:ascii="Palatino Linotype" w:hAnsi="Palatino Linotype"/>
          <w:color w:val="000000" w:themeColor="text1"/>
          <w:sz w:val="18"/>
          <w:szCs w:val="18"/>
          <w:highlight w:val="yellow"/>
        </w:rPr>
        <w:t xml:space="preserve">Table </w:t>
      </w:r>
      <w:r w:rsidR="00DC535E" w:rsidRPr="002F5256">
        <w:rPr>
          <w:rFonts w:ascii="Palatino Linotype" w:hAnsi="Palatino Linotype"/>
          <w:color w:val="000000" w:themeColor="text1"/>
          <w:sz w:val="18"/>
          <w:szCs w:val="18"/>
          <w:highlight w:val="yellow"/>
        </w:rPr>
        <w:t>S</w:t>
      </w:r>
      <w:r w:rsidRPr="002F5256">
        <w:rPr>
          <w:rFonts w:ascii="Palatino Linotype" w:hAnsi="Palatino Linotype"/>
          <w:color w:val="000000" w:themeColor="text1"/>
          <w:sz w:val="18"/>
          <w:szCs w:val="18"/>
          <w:highlight w:val="yellow"/>
        </w:rPr>
        <w:t>2</w:t>
      </w:r>
      <w:r w:rsidRPr="00892B36">
        <w:rPr>
          <w:rFonts w:ascii="Palatino Linotype" w:hAnsi="Palatino Linotype"/>
          <w:color w:val="000000" w:themeColor="text1"/>
          <w:sz w:val="18"/>
          <w:szCs w:val="18"/>
        </w:rPr>
        <w:t xml:space="preserve">, indicate that our combined approach captures a larger portion of the dataset's information, highlighting the advantages of model integration over operating models in isolation. Moreover, our final </w:t>
      </w: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algorithm performed better than DEA, further demonstrating its effectiveness in handling complex datasets.</w:t>
      </w:r>
    </w:p>
    <w:p w14:paraId="56C1B067" w14:textId="77777777" w:rsidR="00B1617F" w:rsidRPr="00892B36" w:rsidRDefault="00B1617F" w:rsidP="00B1617F">
      <w:pPr>
        <w:pStyle w:val="NormalWeb"/>
        <w:spacing w:before="0" w:beforeAutospacing="0" w:after="0" w:afterAutospacing="0"/>
        <w:jc w:val="both"/>
        <w:rPr>
          <w:rFonts w:ascii="Palatino Linotype" w:hAnsi="Palatino Linotype"/>
          <w:b/>
          <w:bCs/>
          <w:i/>
          <w:iCs/>
          <w:color w:val="000000" w:themeColor="text1"/>
          <w:sz w:val="20"/>
          <w:szCs w:val="20"/>
        </w:rPr>
      </w:pPr>
    </w:p>
    <w:p w14:paraId="3255E792" w14:textId="4415B702" w:rsidR="006F4E4C" w:rsidRPr="00892B36" w:rsidRDefault="001D49B8" w:rsidP="00B1617F">
      <w:pPr>
        <w:pStyle w:val="NormalWeb"/>
        <w:spacing w:before="0" w:beforeAutospacing="0" w:after="0" w:afterAutospacing="0"/>
        <w:jc w:val="both"/>
        <w:rPr>
          <w:rFonts w:ascii="Palatino Linotype" w:hAnsi="Palatino Linotype"/>
          <w:b/>
          <w:bCs/>
          <w:i/>
          <w:iCs/>
          <w:color w:val="000000" w:themeColor="text1"/>
          <w:sz w:val="20"/>
          <w:szCs w:val="20"/>
        </w:rPr>
      </w:pPr>
      <w:r w:rsidRPr="00892B36">
        <w:rPr>
          <w:rFonts w:ascii="Palatino Linotype" w:hAnsi="Palatino Linotype"/>
          <w:b/>
          <w:bCs/>
          <w:i/>
          <w:iCs/>
          <w:color w:val="000000" w:themeColor="text1"/>
          <w:sz w:val="20"/>
          <w:szCs w:val="20"/>
        </w:rPr>
        <w:t>ADDITIONAL DISCUSSION</w:t>
      </w:r>
      <w:r w:rsidR="00555762" w:rsidRPr="00892B36">
        <w:rPr>
          <w:rFonts w:ascii="Palatino Linotype" w:hAnsi="Palatino Linotype"/>
          <w:b/>
          <w:bCs/>
          <w:i/>
          <w:iCs/>
          <w:color w:val="000000" w:themeColor="text1"/>
          <w:sz w:val="20"/>
          <w:szCs w:val="20"/>
        </w:rPr>
        <w:t>S</w:t>
      </w:r>
    </w:p>
    <w:p w14:paraId="73E5A7A7" w14:textId="77777777" w:rsidR="00B1617F" w:rsidRPr="00892B36" w:rsidRDefault="00B1617F" w:rsidP="00B1617F">
      <w:pPr>
        <w:pStyle w:val="NormalWeb"/>
        <w:spacing w:before="0" w:beforeAutospacing="0" w:after="0" w:afterAutospacing="0"/>
        <w:jc w:val="both"/>
        <w:rPr>
          <w:rFonts w:ascii="Palatino Linotype" w:hAnsi="Palatino Linotype"/>
          <w:color w:val="000000" w:themeColor="text1"/>
          <w:sz w:val="10"/>
          <w:szCs w:val="10"/>
        </w:rPr>
      </w:pPr>
    </w:p>
    <w:p w14:paraId="58BE7E8C" w14:textId="66AA08EC" w:rsidR="00AC4002" w:rsidRPr="00892B36" w:rsidRDefault="00AC4002" w:rsidP="00B1617F">
      <w:pPr>
        <w:pStyle w:val="NormalWeb"/>
        <w:spacing w:before="0" w:beforeAutospacing="0" w:after="0" w:afterAutospacing="0"/>
        <w:jc w:val="both"/>
        <w:rPr>
          <w:rFonts w:ascii="Palatino Linotype" w:hAnsi="Palatino Linotype"/>
          <w:b/>
          <w:bCs/>
          <w:i/>
          <w:iCs/>
          <w:color w:val="000000" w:themeColor="text1"/>
          <w:sz w:val="18"/>
          <w:szCs w:val="18"/>
        </w:rPr>
      </w:pPr>
      <w:r w:rsidRPr="00892B36">
        <w:rPr>
          <w:rFonts w:ascii="Palatino Linotype" w:hAnsi="Palatino Linotype"/>
          <w:b/>
          <w:bCs/>
          <w:i/>
          <w:iCs/>
          <w:color w:val="000000" w:themeColor="text1"/>
          <w:sz w:val="18"/>
          <w:szCs w:val="18"/>
        </w:rPr>
        <w:t>Key Findings from GO Analysis</w:t>
      </w:r>
    </w:p>
    <w:p w14:paraId="24A1952C" w14:textId="17D63BC0" w:rsidR="00BD130C" w:rsidRPr="00892B36" w:rsidRDefault="00BD130C" w:rsidP="00B1617F">
      <w:pPr>
        <w:pStyle w:val="NormalWeb"/>
        <w:spacing w:before="0" w:beforeAutospacing="0" w:after="0" w:afterAutospacing="0"/>
        <w:jc w:val="both"/>
        <w:rPr>
          <w:rFonts w:ascii="Palatino Linotype" w:hAnsi="Palatino Linotype"/>
          <w:color w:val="000000" w:themeColor="text1"/>
          <w:sz w:val="18"/>
          <w:szCs w:val="18"/>
        </w:rPr>
      </w:pP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enriched GO terms, such as "Regulation of Viral Entry </w:t>
      </w:r>
      <w:proofErr w:type="gramStart"/>
      <w:r w:rsidRPr="00892B36">
        <w:rPr>
          <w:rFonts w:ascii="Palatino Linotype" w:hAnsi="Palatino Linotype"/>
          <w:color w:val="000000" w:themeColor="text1"/>
          <w:sz w:val="18"/>
          <w:szCs w:val="18"/>
        </w:rPr>
        <w:t>Into</w:t>
      </w:r>
      <w:proofErr w:type="gramEnd"/>
      <w:r w:rsidRPr="00892B36">
        <w:rPr>
          <w:rFonts w:ascii="Palatino Linotype" w:hAnsi="Palatino Linotype"/>
          <w:color w:val="000000" w:themeColor="text1"/>
          <w:sz w:val="18"/>
          <w:szCs w:val="18"/>
        </w:rPr>
        <w:t xml:space="preserve"> Host Cell" (GO:0046596), pertain to processes that govern the way viruses infiltrate cells. Cells in the nasal passages, lungs, and gut expressed genes such as ACE2, TMPRSS2, and CTSL, which are crucial for SARS-CoV-2 to gain entry into host cells.  Similarly, the procedures outlined in </w:t>
      </w:r>
      <w:r w:rsidRPr="00892B36">
        <w:rPr>
          <w:rFonts w:ascii="Palatino Linotype" w:hAnsi="Palatino Linotype"/>
          <w:i/>
          <w:iCs/>
          <w:color w:val="000000" w:themeColor="text1"/>
          <w:sz w:val="18"/>
          <w:szCs w:val="18"/>
        </w:rPr>
        <w:t>Negative Regulation of Viral Entry Into Host Cell</w:t>
      </w:r>
      <w:r w:rsidRPr="00892B36">
        <w:rPr>
          <w:rFonts w:ascii="Palatino Linotype" w:hAnsi="Palatino Linotype"/>
          <w:color w:val="000000" w:themeColor="text1"/>
          <w:sz w:val="18"/>
          <w:szCs w:val="18"/>
        </w:rPr>
        <w:t xml:space="preserve"> (</w:t>
      </w:r>
      <w:r w:rsidRPr="00892B36">
        <w:rPr>
          <w:rFonts w:ascii="Palatino Linotype" w:hAnsi="Palatino Linotype"/>
          <w:i/>
          <w:iCs/>
          <w:color w:val="000000" w:themeColor="text1"/>
          <w:sz w:val="18"/>
          <w:szCs w:val="18"/>
        </w:rPr>
        <w:t>GO:0046597</w:t>
      </w:r>
      <w:r w:rsidRPr="00892B36">
        <w:rPr>
          <w:rFonts w:ascii="Palatino Linotype" w:hAnsi="Palatino Linotype"/>
          <w:color w:val="000000" w:themeColor="text1"/>
          <w:sz w:val="18"/>
          <w:szCs w:val="18"/>
        </w:rPr>
        <w:t xml:space="preserve">) aim to decrease these entrance steps, possibly through downregulating the proteins involved, which in turn hinders viral entry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&lt;EndNote&gt;&lt;Cite&gt;&lt;Author&gt;Villamayor Coronado&lt;/Author&gt;&lt;Year&gt;2023&lt;/Year&gt;&lt;RecNum&gt;47&lt;/RecNum&gt;&lt;DisplayText&gt;&lt;style face="superscript"&gt;9,10&lt;/style&gt;&lt;/DisplayText&gt;&lt;record&gt;&lt;rec-number&gt;47&lt;/rec-number&gt;&lt;foreign-keys&gt;&lt;key app="EN" db-id="9tfa55a9nepsttertx0vawwcwp9z9vx5pfxe" timestamp="1713424861"&gt;47&lt;/key&gt;&lt;/foreign-keys&gt;&lt;ref-type name="Journal Article"&gt;17&lt;/ref-type&gt;&lt;contributors&gt;&lt;authors&gt;&lt;author&gt;Villamayor Coronado, Laura&lt;/author&gt;&lt;author&gt;Rivero, Vanessa&lt;/author&gt;&lt;author&gt;López-García, Darío&lt;/author&gt;&lt;author&gt;Topham, David J&lt;/author&gt;&lt;author&gt;Martínez-Sobrido, Luis&lt;/author&gt;&lt;author&gt;Nogales, Aitor&lt;/author&gt;&lt;author&gt;DeDiego, Marta L&lt;/author&gt;&lt;/authors&gt;&lt;/contributors&gt;&lt;titles&gt;&lt;title&gt;Interferon alpha inducible protein 6 is a negative regulator of innate immune responses by modulating RIG-I activation&lt;/title&gt;&lt;/titles&gt;&lt;dates&gt;&lt;year&gt;2023&lt;/year&gt;&lt;/dates&gt;&lt;urls&gt;&lt;/urls&gt;&lt;/record&gt;&lt;/Cite&gt;&lt;Cite&gt;&lt;Author&gt;Muus&lt;/Author&gt;&lt;Year&gt;2021&lt;/Year&gt;&lt;RecNum&gt;48&lt;/RecNum&gt;&lt;record&gt;&lt;rec-number&gt;48&lt;/rec-number&gt;&lt;foreign-keys&gt;&lt;key app="EN" db-id="9tfa55a9nepsttertx0vawwcwp9z9vx5pfxe" timestamp="1713424888"&gt;48&lt;/key&gt;&lt;/foreign-keys&gt;&lt;ref-type name="Journal Article"&gt;17&lt;/ref-type&gt;&lt;contributors&gt;&lt;authors&gt;&lt;author&gt;Muus, Christoph&lt;/author&gt;&lt;author&gt;Luecken, Malte D&lt;/author&gt;&lt;author&gt;Eraslan, Gökcen&lt;/author&gt;&lt;author&gt;Sikkema, Lisa&lt;/author&gt;&lt;author&gt;Waghray, Avinash&lt;/author&gt;&lt;author&gt;Heimberg, Graham&lt;/author&gt;&lt;author&gt;Kobayashi, Yoshihiko&lt;/author&gt;&lt;author&gt;Vaishnav, Eeshit Dhaval&lt;/author&gt;&lt;author&gt;Subramanian, Ayshwarya&lt;/author&gt;&lt;author&gt;Smillie, Christopher&lt;/author&gt;&lt;/authors&gt;&lt;/contributors&gt;&lt;titles&gt;&lt;title&gt;Single-cell meta-analysis of SARS-CoV-2 entry genes across tissues and demographics&lt;/title&gt;&lt;secondary-title&gt;Nature medicine&lt;/secondary-title&gt;&lt;/titles&gt;&lt;periodical&gt;&lt;full-title&gt;Nature medicine&lt;/full-title&gt;&lt;/periodical&gt;&lt;pages&gt;546-559&lt;/pages&gt;&lt;volume&gt;27&lt;/volume&gt;&lt;number&gt;3&lt;/number&gt;&lt;dates&gt;&lt;year&gt;2021&lt;/year&gt;&lt;/dates&gt;&lt;isbn&gt;1078-8956&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9,10</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The innate immune systems, represented by various Gene Ontology (GO) terms, are central to this discussion. Antiviral Innate Immune Response (GO:0140374) and Defense Response To Virus (GO:0051607) constitute the host's primary defenses against SARS-CoV-2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&lt;EndNote&gt;&lt;Cite&gt;&lt;Author&gt;Hadjadj&lt;/Author&gt;&lt;Year&gt;2020&lt;/Year&gt;&lt;RecNum&gt;41&lt;/RecNum&gt;&lt;DisplayText&gt;&lt;style face="superscript"&gt;11&lt;/style&gt;&lt;/DisplayText&gt;&lt;record&gt;&lt;rec-number&gt;41&lt;/rec-number&gt;&lt;foreign-keys&gt;&lt;key app="EN" db-id="9tfa55a9nepsttertx0vawwcwp9z9vx5pfxe" timestamp="1713305615"&gt;41&lt;/key&gt;&lt;/foreign-keys&gt;&lt;ref-type name="Journal Article"&gt;17&lt;/ref-type&gt;&lt;contributors&gt;&lt;authors&gt;&lt;author&gt;Hadjadj, Jérôme&lt;/author&gt;&lt;author&gt;Yatim, Nader&lt;/author&gt;&lt;author&gt;Barnabei, Laura&lt;/author&gt;&lt;author&gt;Corneau, Aurélien&lt;/author&gt;&lt;author&gt;Boussier, Jeremy&lt;/author&gt;&lt;author&gt;Smith, Nikaïa&lt;/author&gt;&lt;author&gt;Péré, Hélène&lt;/author&gt;&lt;author&gt;Charbit, Bruno&lt;/author&gt;&lt;author&gt;Bondet, Vincent&lt;/author&gt;&lt;author&gt;Chenevier-Gobeaux, Camille&lt;/author&gt;&lt;/authors&gt;&lt;/contributors&gt;&lt;titles&gt;&lt;title&gt;Impaired type I interferon activity and inflammatory responses in severe COVID-19 patients&lt;/title&gt;&lt;secondary-title&gt;Science&lt;/secondary-title&gt;&lt;/titles&gt;&lt;periodical&gt;&lt;full-title&gt;Science&lt;/full-title&gt;&lt;/periodical&gt;&lt;pages&gt;718-724&lt;/pages&gt;&lt;volume&gt;369&lt;/volume&gt;&lt;number&gt;6504&lt;/number&gt;&lt;dates&gt;&lt;year&gt;2020&lt;/year&gt;&lt;/dates&gt;&lt;isbn&gt;0036-8075&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11</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These mechanisms, involving Toll-like receptors, NOD-like receptors, and RIG-I (Retinoic acid-Inducible Gene I), activate a series of antiviral actions, including interferon signaling pathways mediated by RIG-I (GO:1900246)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&lt;EndNote&gt;&lt;Cite&gt;&lt;Author&gt;Albright&lt;/Author&gt;&lt;Year&gt;2023&lt;/Year&gt;&lt;RecNum&gt;17&lt;/RecNum&gt;&lt;DisplayText&gt;&lt;style face="superscript"&gt;12&lt;/style&gt;&lt;/DisplayText&gt;&lt;record&gt;&lt;rec-number&gt;17&lt;/rec-number&gt;&lt;foreign-keys&gt;&lt;key app="EN" db-id="9tfa55a9nepsttertx0vawwcwp9z9vx5pfxe" timestamp="1712161776"&gt;17&lt;/key&gt;&lt;/foreign-keys&gt;&lt;ref-type name="Journal Article"&gt;17&lt;/ref-type&gt;&lt;contributors&gt;&lt;authors&gt;&lt;author&gt;Albright, Jack&lt;/author&gt;&lt;author&gt;Mick, Eran&lt;/author&gt;&lt;author&gt;Sanchez-Guerrero, Estella&lt;/author&gt;&lt;author&gt;Kamm, Jack&lt;/author&gt;&lt;author&gt;Mitchell, Anthea&lt;/author&gt;&lt;author&gt;Detweiler, Angela M&lt;/author&gt;&lt;author&gt;Neff, Norma&lt;/author&gt;&lt;author&gt;Tsitsiklis, Alexandra&lt;/author&gt;&lt;author&gt;Hayakawa Serpa, Paula&lt;/author&gt;&lt;author&gt;Ratnasiri, Kalani&lt;/author&gt;&lt;/authors&gt;&lt;/contributors&gt;&lt;titles&gt;&lt;title&gt;A 2-gene host signature for improved accuracy of COVID-19 diagnosis agnostic to viral variants&lt;/title&gt;&lt;secondary-title&gt;Msystems&lt;/secondary-title&gt;&lt;/titles&gt;&lt;periodical&gt;&lt;full-title&gt;Msystems&lt;/full-title&gt;&lt;/periodical&gt;&lt;pages&gt;e00671-22&lt;/pages&gt;&lt;volume&gt;8&lt;/volume&gt;&lt;number&gt;1&lt;/number&gt;&lt;dates&gt;&lt;year&gt;2023&lt;/year&gt;&lt;/dates&gt;&lt;isbn&gt;2379-5077&lt;/isbn&gt;&lt;urls&gt;&lt;related-urls&gt;&lt;url&gt;https://journals.asm.org/doi/pdf/10.1128/msystems.00671-22?download=true&lt;/url&gt;&lt;/related-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12</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Such pathways are crucial for inducing the production of interferons and other cytokines, which are essential for controlling and eliminating viral infections. It is important to fine-tune these reactions, as highlighted by the GO term Negative Regulation Of Innate Immune Response (GO:0045824)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&lt;EndNote&gt;&lt;Cite&gt;&lt;Author&gt;Zhang&lt;/Author&gt;&lt;Year&gt;2023&lt;/Year&gt;&lt;RecNum&gt;38&lt;/RecNum&gt;&lt;DisplayText&gt;&lt;style face="superscript"&gt;13&lt;/style&gt;&lt;/DisplayText&gt;&lt;record&gt;&lt;rec-number&gt;38&lt;/rec-number&gt;&lt;foreign-keys&gt;&lt;key app="EN" db-id="9tfa55a9nepsttertx0vawwcwp9z9vx5pfxe" timestamp="1713304407"&gt;38&lt;/key&gt;&lt;/foreign-keys&gt;&lt;ref-type name="Journal Article"&gt;17&lt;/ref-type&gt;&lt;contributors&gt;&lt;authors&gt;&lt;author&gt;Zhang, Liang&lt;/author&gt;&lt;author&gt;Jiang, Yao&lt;/author&gt;&lt;author&gt;He, Jinhang&lt;/author&gt;&lt;author&gt;Chen, Junyu&lt;/author&gt;&lt;author&gt;Qi, Ruoyao&lt;/author&gt;&lt;author&gt;Yuan, Lunzhi&lt;/author&gt;&lt;author&gt;Shao, Tiange&lt;/author&gt;&lt;author&gt;Zhao, Hui&lt;/author&gt;&lt;author&gt;Chen, Congjie&lt;/author&gt;&lt;author&gt;Chen, Yaode&lt;/author&gt;&lt;/authors&gt;&lt;/contributors&gt;&lt;titles&gt;&lt;title&gt;Intranasal influenza-vectored COVID-19 vaccine restrains the SARS-CoV-2 inflammatory response in hamsters&lt;/title&gt;&lt;secondary-title&gt;Nature Communications&lt;/secondary-title&gt;&lt;/titles&gt;&lt;periodical&gt;&lt;full-title&gt;Nature Communications&lt;/full-title&gt;&lt;/periodical&gt;&lt;pages&gt;4117&lt;/pages&gt;&lt;volume&gt;14&lt;/volume&gt;&lt;number&gt;1&lt;/number&gt;&lt;dates&gt;&lt;year&gt;2023&lt;/year&gt;&lt;/dates&gt;&lt;isbn&gt;2041-1723&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13</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to prevent overactivation. Recent research has identified that a compromised type I interferon response, coupled with an intensified inflammatory reaction, can exacerbate COVID-19 in severe cases, underlining the complex interaction between effective antiviral defense mechanisms and harmful hyperinflammation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&lt;EndNote&gt;&lt;Cite&gt;&lt;Author&gt;Minkoff&lt;/Author&gt;&lt;Year&gt;2023&lt;/Year&gt;&lt;RecNum&gt;39&lt;/RecNum&gt;&lt;DisplayText&gt;&lt;style face="superscript"&gt;14&lt;/style&gt;&lt;/DisplayText&gt;&lt;record&gt;&lt;rec-number&gt;39&lt;/rec-number&gt;&lt;foreign-keys&gt;&lt;key app="EN" db-id="9tfa55a9nepsttertx0vawwcwp9z9vx5pfxe" timestamp="1713305245"&gt;39&lt;/key&gt;&lt;/foreign-keys&gt;&lt;ref-type name="Journal Article"&gt;17&lt;/ref-type&gt;&lt;contributors&gt;&lt;authors&gt;&lt;author&gt;Minkoff, Judith M&lt;/author&gt;&lt;author&gt;tenOever, Benjamin&lt;/author&gt;&lt;/authors&gt;&lt;/contributors&gt;&lt;titles&gt;&lt;title&gt;Innate immune evasion strategies of SARS-CoV-2&lt;/title&gt;&lt;secondary-title&gt;Nature Reviews Microbiology&lt;/secondary-title&gt;&lt;/titles&gt;&lt;periodical&gt;&lt;full-title&gt;Nature Reviews Microbiology&lt;/full-title&gt;&lt;/periodical&gt;&lt;pages&gt;178-194&lt;/pages&gt;&lt;volume&gt;21&lt;/volume&gt;&lt;number&gt;3&lt;/number&gt;&lt;dates&gt;&lt;year&gt;2023&lt;/year&gt;&lt;/dates&gt;&lt;isbn&gt;1740-1526&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14</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Such dysregulation can lead to a cytokine storm (GO:0001819), worsening symptoms and prevalently affecting individuals with advanced illness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&lt;EndNote&gt;&lt;Cite&gt;&lt;Author&gt;Manfrini&lt;/Author&gt;&lt;Year&gt;2024&lt;/Year&gt;&lt;RecNum&gt;40&lt;/RecNum&gt;&lt;DisplayText&gt;&lt;style face="superscript"&gt;15&lt;/style&gt;&lt;/DisplayText&gt;&lt;record&gt;&lt;rec-number&gt;40&lt;/rec-number&gt;&lt;foreign-keys&gt;&lt;key app="EN" db-id="9tfa55a9nepsttertx0vawwcwp9z9vx5pfxe" timestamp="1713305423"&gt;40&lt;/key&gt;&lt;/foreign-keys&gt;&lt;ref-type name="Journal Article"&gt;17&lt;/ref-type&gt;&lt;contributors&gt;&lt;authors&gt;&lt;author&gt;Manfrini, Nicola&lt;/author&gt;&lt;author&gt;Notarbartolo, Samuele&lt;/author&gt;&lt;author&gt;Grifantini, Renata&lt;/author&gt;&lt;author&gt;Pesce, Elisa&lt;/author&gt;&lt;/authors&gt;&lt;/contributors&gt;&lt;titles&gt;&lt;title&gt;SARS-CoV-2: A Glance at the Innate Immune Response Elicited by Infection and Vaccination&lt;/title&gt;&lt;secondary-title&gt;Antibodies&lt;/secondary-title&gt;&lt;/titles&gt;&lt;periodical&gt;&lt;full-title&gt;Antibodies&lt;/full-title&gt;&lt;/periodical&gt;&lt;pages&gt;13&lt;/pages&gt;&lt;volume&gt;13&lt;/volume&gt;&lt;number&gt;1&lt;/number&gt;&lt;dates&gt;&lt;year&gt;2024&lt;/year&gt;&lt;/dates&gt;&lt;isbn&gt;2073-4468&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15</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These pathophysiological processes related to inflammation and immune signaling, which include interleukin-6 (IL-6), interleukin-1 (IL-1), tumor necrosis factor, and components of the complement system (part of the innate immune response), are crucial. The specific patterns of gene expression associated with these processes can play a vital role in the development of COVID-19 and suggest potential targets for therapeutic interventions. Therefore, precise modulation of cytokine-mediated signaling (GO:0019221) is necessary to prevent pathogenic effects, particularly the overproduction of interferon-beta (GO:0032728 and GO:0032648), which can contribute to disease pathogenesis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&lt;EndNote&gt;&lt;Cite&gt;&lt;Author&gt;Minkoff&lt;/Author&gt;&lt;Year&gt;2023&lt;/Year&gt;&lt;RecNum&gt;42&lt;/RecNum&gt;&lt;DisplayText&gt;&lt;style face="superscript"&gt;14&lt;/style&gt;&lt;/DisplayText&gt;&lt;record&gt;&lt;rec-number&gt;42&lt;/rec-number&gt;&lt;foreign-keys&gt;&lt;key app="EN" db-id="9tfa55a9nepsttertx0vawwcwp9z9vx5pfxe" timestamp="1713306309"&gt;42&lt;/key&gt;&lt;/foreign-keys&gt;&lt;ref-type name="Journal Article"&gt;17&lt;/ref-type&gt;&lt;contributors&gt;&lt;authors&gt;&lt;author&gt;Minkoff, Judith M&lt;/author&gt;&lt;author&gt;tenOever, Benjamin&lt;/author&gt;&lt;/authors&gt;&lt;/contributors&gt;&lt;titles&gt;&lt;title&gt;Innate immune evasion strategies of SARS-CoV-2&lt;/title&gt;&lt;secondary-title&gt;Nature Reviews Microbiology&lt;/secondary-title&gt;&lt;/titles&gt;&lt;periodical&gt;&lt;full-title&gt;Nature Reviews Microbiology&lt;/full-title&gt;&lt;/periodical&gt;&lt;pages&gt;178-194&lt;/pages&gt;&lt;volume&gt;21&lt;/volume&gt;&lt;number&gt;3&lt;/number&gt;&lt;dates&gt;&lt;year&gt;2023&lt;/year&gt;&lt;/dates&gt;&lt;isbn&gt;1740-1526&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14</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Furthermore, the Positive Regulation of I-</w:t>
      </w:r>
      <w:proofErr w:type="spellStart"/>
      <w:r w:rsidRPr="00892B36">
        <w:rPr>
          <w:rFonts w:ascii="Palatino Linotype" w:hAnsi="Palatino Linotype"/>
          <w:color w:val="000000" w:themeColor="text1"/>
          <w:sz w:val="18"/>
          <w:szCs w:val="18"/>
        </w:rPr>
        <w:t>kappaB</w:t>
      </w:r>
      <w:proofErr w:type="spellEnd"/>
      <w:r w:rsidRPr="00892B36">
        <w:rPr>
          <w:rFonts w:ascii="Palatino Linotype" w:hAnsi="Palatino Linotype"/>
          <w:color w:val="000000" w:themeColor="text1"/>
          <w:sz w:val="18"/>
          <w:szCs w:val="18"/>
        </w:rPr>
        <w:t xml:space="preserve"> kinase/NF-</w:t>
      </w:r>
      <w:proofErr w:type="spellStart"/>
      <w:r w:rsidRPr="00892B36">
        <w:rPr>
          <w:rFonts w:ascii="Palatino Linotype" w:hAnsi="Palatino Linotype"/>
          <w:color w:val="000000" w:themeColor="text1"/>
          <w:sz w:val="18"/>
          <w:szCs w:val="18"/>
        </w:rPr>
        <w:t>kappaB</w:t>
      </w:r>
      <w:proofErr w:type="spellEnd"/>
      <w:r w:rsidRPr="00892B36">
        <w:rPr>
          <w:rFonts w:ascii="Palatino Linotype" w:hAnsi="Palatino Linotype"/>
          <w:color w:val="000000" w:themeColor="text1"/>
          <w:sz w:val="18"/>
          <w:szCs w:val="18"/>
        </w:rPr>
        <w:t xml:space="preserve"> Signaling (GO:0043123) and the Positive Regulation of Cytokine Production (GO:0001819) demonstrate the host’s efforts to mount an effective immune response without overreacting. This highlights the dual role of cytokines in COVID-19 pathogenesis, where they are essential for combating the infection but can also exacerbate disease severity if not properly regulated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&lt;EndNote&gt;&lt;Cite&gt;&lt;Author&gt;Farahani&lt;/Author&gt;&lt;Year&gt;2022&lt;/Year&gt;&lt;RecNum&gt;36&lt;/RecNum&gt;&lt;DisplayText&gt;&lt;style face="superscript"&gt;7&lt;/style&gt;&lt;/DisplayText&gt;&lt;record&gt;&lt;rec-number&gt;36&lt;/rec-number&gt;&lt;foreign-keys&gt;&lt;key app="EN" db-id="9tfa55a9nepsttertx0vawwcwp9z9vx5pfxe" timestamp="1712773013"&gt;36&lt;/key&gt;&lt;/foreign-keys&gt;&lt;ref-type name="Journal Article"&gt;17&lt;/ref-type&gt;&lt;contributors&gt;&lt;authors&gt;&lt;author&gt;Farahani, Masoumeh&lt;/author&gt;&lt;author&gt;Niknam, Zahra&lt;/author&gt;&lt;author&gt;Amirabad, Leila Mohammadi&lt;/author&gt;&lt;author&gt;Amiri-Dashatan, Nasrin&lt;/author&gt;&lt;author&gt;Koushki, Mehdi&lt;/author&gt;&lt;author&gt;Nemati, Mohadeseh&lt;/author&gt;&lt;author&gt;Pouya, Fahima Danesh&lt;/author&gt;&lt;author&gt;Rezaei-Tavirani, Mostafa&lt;/author&gt;&lt;author&gt;Rasmi, Yousef&lt;/author&gt;&lt;author&gt;Tayebi, Lobat&lt;/author&gt;&lt;/authors&gt;&lt;/contributors&gt;&lt;titles&gt;&lt;title&gt;Molecular pathways involved in COVID-19 and potential pathway-based therapeutic targets&lt;/title&gt;&lt;secondary-title&gt;Biomedicine &amp;amp; Pharmacotherapy&lt;/secondary-title&gt;&lt;/titles&gt;&lt;periodical&gt;&lt;full-title&gt;Biomedicine &amp;amp; Pharmacotherapy&lt;/full-title&gt;&lt;/periodical&gt;&lt;pages&gt;112420&lt;/pages&gt;&lt;volume&gt;145&lt;/volume&gt;&lt;dates&gt;&lt;year&gt;2022&lt;/year&gt;&lt;/dates&gt;&lt;isbn&gt;0753-3322&lt;/isbn&gt;&lt;urls&gt;&lt;/urls&gt;&lt;/record&gt;&lt;/Cite&gt;&lt;/EndNote&gt;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7</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Furthermore, it is critical to highlight the Negative Regulation of Viral Genome Replication (GO:0045071). This GO term reflects host cellular processes designed to inhibit SARS-CoV-2 replication, thus reducing infection severity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&lt;EndNote&gt;&lt;Cite&gt;&lt;Author&gt;Manfrini&lt;/Author&gt;&lt;Year&gt;2024&lt;/Year&gt;&lt;RecNum&gt;40&lt;/RecNum&gt;&lt;DisplayText&gt;&lt;style face="superscript"&gt;15&lt;/style&gt;&lt;/DisplayText&gt;&lt;record&gt;&lt;rec-number&gt;40&lt;/rec-number&gt;&lt;foreign-keys&gt;&lt;key app="EN" db-id="9tfa55a9nepsttertx0vawwcwp9z9vx5pfxe" timestamp="1713305423"&gt;40&lt;/key&gt;&lt;/foreign-keys&gt;&lt;ref-type name="Journal Article"&gt;17&lt;/ref-type&gt;&lt;contributors&gt;&lt;authors&gt;&lt;author&gt;Manfrini, Nicola&lt;/author&gt;&lt;author&gt;Notarbartolo, Samuele&lt;/author&gt;&lt;author&gt;Grifantini, Renata&lt;/author&gt;&lt;author&gt;Pesce, Elisa&lt;/author&gt;&lt;/authors&gt;&lt;/contributors&gt;&lt;titles&gt;&lt;title&gt;SARS-CoV-2: A Glance at the Innate Immune Response Elicited by Infection and Vaccination&lt;/title&gt;&lt;secondary-title&gt;Antibodies&lt;/secondary-title&gt;&lt;/titles&gt;&lt;periodical&gt;&lt;full-title&gt;Antibodies&lt;/full-title&gt;&lt;/periodical&gt;&lt;pages&gt;13&lt;/pages&gt;&lt;volume&gt;13&lt;/volume&gt;&lt;number&gt;1&lt;/number&gt;&lt;dates&gt;&lt;year&gt;2024&lt;/year&gt;&lt;/dates&gt;&lt;isbn&gt;2073-4468&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15</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Top genes such as IFITM3, APOBEC3C, IFITM1, MX1, IFIT5, ISG15, IFIT1, OASL, IFIH1, BST2, ISG20, OAS1, OAS2, and OAS3, identified by </w:t>
      </w: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and enriched GO:0045071, are instrumental in these processes and may present viable therapeutic targets to bolster natural defenses. The selected GO terms not only outline different aspects of the immune response to COVID-19 but also emphasize the critical need to manage these responses to prevent exacerbation of inflammation, crucial for patient recovery. During COVID-19, other key GO terms such as the Regulation of Interleukin-8 Production (GO:0032677) and Positive Regulation of Interleukin-6 Production (GO:0032755) have been linked to the body’s response to viral entry via the ACE2 receptor. This interaction triggers a cascade of immune reactions, including the production of pro-inflammatory cytokines IL-6 and IL-8, which are vital for inflammation and leukocyte recruitment but can also lead to severe inflammation if dysregulated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&lt;EndNote&gt;&lt;Cite&gt;&lt;Author&gt;Shen&lt;/Author&gt;&lt;Year&gt;2023&lt;/Year&gt;&lt;RecNum&gt;43&lt;/RecNum&gt;&lt;DisplayText&gt;&lt;style face="superscript"&gt;16&lt;/style&gt;&lt;/DisplayText&gt;&lt;record&gt;&lt;rec-number&gt;43&lt;/rec-number&gt;&lt;foreign-keys&gt;&lt;key app="EN" db-id="9tfa55a9nepsttertx0vawwcwp9z9vx5pfxe" timestamp="1713368842"&gt;43&lt;/key&gt;&lt;/foreign-keys&gt;&lt;ref-type name="Journal Article"&gt;17&lt;/ref-type&gt;&lt;contributors&gt;&lt;authors&gt;&lt;author&gt;Shen, Yi-Luen&lt;/author&gt;&lt;author&gt;Hsieh, Yi-An&lt;/author&gt;&lt;author&gt;Hu, Po-Wei&lt;/author&gt;&lt;author&gt;Lo, Po-Chun&lt;/author&gt;&lt;author&gt;Hsiao, Yi-Han&lt;/author&gt;&lt;author&gt;Ko, Hsin-Kuo&lt;/author&gt;&lt;author&gt;Lin, Fang-Chi&lt;/author&gt;&lt;author&gt;Huang, Chien-Wen&lt;/author&gt;&lt;author&gt;Su, Kang-Cheng&lt;/author&gt;&lt;author&gt;Perng, Diahn-Warng&lt;/author&gt;&lt;/authors&gt;&lt;/contributors&gt;&lt;titles&gt;&lt;title&gt;Angiotensin-(1–7) attenuates SARS-CoV2 spike protein-induced interleukin-6 and interleukin-8 production in alveolar epithelial cells through activation of Mas receptor&lt;/title&gt;&lt;secondary-title&gt;Journal of Microbiology, Immunology and Infection&lt;/secondary-title&gt;&lt;/titles&gt;&lt;periodical&gt;&lt;full-title&gt;Journal of Microbiology, Immunology and Infection&lt;/full-title&gt;&lt;/periodical&gt;&lt;pages&gt;1147-1157&lt;/pages&gt;&lt;volume&gt;56&lt;/volume&gt;&lt;number&gt;6&lt;/number&gt;&lt;dates&gt;&lt;year&gt;2023&lt;/year&gt;&lt;/dates&gt;&lt;isbn&gt;1684-1182&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16</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Additionally, </w:t>
      </w:r>
      <w:r w:rsidRPr="00892B36">
        <w:rPr>
          <w:rFonts w:ascii="Palatino Linotype" w:hAnsi="Palatino Linotype"/>
          <w:color w:val="000000" w:themeColor="text1"/>
          <w:sz w:val="18"/>
          <w:szCs w:val="18"/>
        </w:rPr>
        <w:lastRenderedPageBreak/>
        <w:t xml:space="preserve">the Apoptotic Process (GO:0006915) is crucial for the controlled elimination of infected cells, thereby minimizing potential inflammatory damage. This complex interaction underscores the need for further research to fully understand the immune responses impacting COVID-19's progression and to develop targeted therapies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&lt;EndNote&gt;&lt;Cite&gt;&lt;Author&gt;Ciotti&lt;/Author&gt;&lt;Year&gt;2020&lt;/Year&gt;&lt;RecNum&gt;45&lt;/RecNum&gt;&lt;DisplayText&gt;&lt;style face="superscript"&gt;17&lt;/style&gt;&lt;/DisplayText&gt;&lt;record&gt;&lt;rec-number&gt;45&lt;/rec-number&gt;&lt;foreign-keys&gt;&lt;key app="EN" db-id="9tfa55a9nepsttertx0vawwcwp9z9vx5pfxe" timestamp="1713370515"&gt;45&lt;/key&gt;&lt;/foreign-keys&gt;&lt;ref-type name="Journal Article"&gt;17&lt;/ref-type&gt;&lt;contributors&gt;&lt;authors&gt;&lt;author&gt;Ciotti, Marco&lt;/author&gt;&lt;author&gt;Ciccozzi, Massimo&lt;/author&gt;&lt;author&gt;Terrinoni, Alessandro&lt;/author&gt;&lt;author&gt;Jiang, Wen-Can&lt;/author&gt;&lt;author&gt;Wang, Cheng-Bin&lt;/author&gt;&lt;author&gt;Bernardini, Sergio&lt;/author&gt;&lt;/authors&gt;&lt;/contributors&gt;&lt;titles&gt;&lt;title&gt;The COVID-19 pandemic&lt;/title&gt;&lt;secondary-title&gt;Critical reviews in clinical laboratory sciences&lt;/secondary-title&gt;&lt;/titles&gt;&lt;periodical&gt;&lt;full-title&gt;Critical reviews in clinical laboratory sciences&lt;/full-title&gt;&lt;/periodical&gt;&lt;pages&gt;365-388&lt;/pages&gt;&lt;volume&gt;57&lt;/volume&gt;&lt;number&gt;6&lt;/number&gt;&lt;dates&gt;&lt;year&gt;2020&lt;/year&gt;&lt;/dates&gt;&lt;isbn&gt;1040-8363&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17</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Lastly, Neutrophil Chemotaxis (GO:0030593) has been identified as a significant factor in COVID-19 severity, with neutrophils mediating acute inflammatory responses and tissue damage through mechanisms such as Neutrophil extracellular trap (NET) formation</w:t>
      </w:r>
      <w:r w:rsidRPr="00892B36">
        <w:rPr>
          <w:rFonts w:ascii="Palatino Linotype" w:hAnsi="Palatino Linotype"/>
          <w:i/>
          <w:iCs/>
          <w:color w:val="000000" w:themeColor="text1"/>
          <w:sz w:val="18"/>
          <w:szCs w:val="18"/>
        </w:rPr>
        <w:t xml:space="preserve">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&lt;EndNote&gt;&lt;Cite&gt;&lt;Author&gt;Vanderbeke&lt;/Author&gt;&lt;Year&gt;2021&lt;/Year&gt;&lt;RecNum&gt;46&lt;/RecNum&gt;&lt;DisplayText&gt;&lt;style face="superscript"&gt;18&lt;/style&gt;&lt;/DisplayText&gt;&lt;record&gt;&lt;rec-number&gt;46&lt;/rec-number&gt;&lt;foreign-keys&gt;&lt;key app="EN" db-id="9tfa55a9nepsttertx0vawwcwp9z9vx5pfxe" timestamp="1713373870"&gt;46&lt;/key&gt;&lt;/foreign-keys&gt;&lt;ref-type name="Journal Article"&gt;17&lt;/ref-type&gt;&lt;contributors&gt;&lt;authors&gt;&lt;author&gt;Vanderbeke, Lore&lt;/author&gt;&lt;author&gt;Van Mol, Pierre&lt;/author&gt;&lt;author&gt;Van Herck, Yannick&lt;/author&gt;&lt;author&gt;De Smet, Frederik&lt;/author&gt;&lt;author&gt;Humblet-Baron, Stephanie&lt;/author&gt;&lt;author&gt;Martinod, Kimberly&lt;/author&gt;&lt;author&gt;Antoranz, Asier&lt;/author&gt;&lt;author&gt;Arijs, Ingrid&lt;/author&gt;&lt;author&gt;Boeckx, Bram&lt;/author&gt;&lt;author&gt;Bosisio, FM&lt;/author&gt;&lt;/authors&gt;&lt;/contributors&gt;&lt;titles&gt;&lt;title&gt;Monocyte-driven atypical cytokine storm and aberrant neutrophil activation as key mediators of COVID-19 disease severity&lt;/title&gt;&lt;secondary-title&gt;Nature communications&lt;/secondary-title&gt;&lt;/titles&gt;&lt;periodical&gt;&lt;full-title&gt;Nature Communications&lt;/full-title&gt;&lt;/periodical&gt;&lt;pages&gt;4117&lt;/pages&gt;&lt;volume&gt;12&lt;/volume&gt;&lt;number&gt;1&lt;/number&gt;&lt;dates&gt;&lt;year&gt;2021&lt;/year&gt;&lt;/dates&gt;&lt;isbn&gt;2041-1723&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18</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The Positive Regulation Of Monocyte Chemotactic Protein-1 Production (GO:0071639) also plays a crucial role by facilitating the movement of immune cells to infection sites, essential for effective viral clearance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&lt;EndNote&gt;&lt;Cite&gt;&lt;Author&gt;Jin&lt;/Author&gt;&lt;Year&gt;2021&lt;/Year&gt;&lt;RecNum&gt;44&lt;/RecNum&gt;&lt;DisplayText&gt;&lt;style face="superscript"&gt;19&lt;/style&gt;&lt;/DisplayText&gt;&lt;record&gt;&lt;rec-number&gt;44&lt;/rec-number&gt;&lt;foreign-keys&gt;&lt;key app="EN" db-id="9tfa55a9nepsttertx0vawwcwp9z9vx5pfxe" timestamp="1713369873"&gt;44&lt;/key&gt;&lt;/foreign-keys&gt;&lt;ref-type name="Journal Article"&gt;17&lt;/ref-type&gt;&lt;contributors&gt;&lt;authors&gt;&lt;author&gt;Jin, Zhuqing&lt;/author&gt;&lt;author&gt;Zheng, En&lt;/author&gt;&lt;author&gt;Sareli, Candice&lt;/author&gt;&lt;author&gt;Kolattukudy, Pappachan E&lt;/author&gt;&lt;author&gt;Niu, Jianli&lt;/author&gt;&lt;/authors&gt;&lt;/contributors&gt;&lt;titles&gt;&lt;title&gt;Monocyte chemotactic protein-induced protein 1 (MCPIP-1): a key player of host defense and immune regulation&lt;/title&gt;&lt;secondary-title&gt;Frontiers in Immunology&lt;/secondary-title&gt;&lt;/titles&gt;&lt;periodical&gt;&lt;full-title&gt;Frontiers in Immunology&lt;/full-title&gt;&lt;/periodical&gt;&lt;pages&gt;727861&lt;/pages&gt;&lt;volume&gt;12&lt;/volume&gt;&lt;dates&gt;&lt;year&gt;2021&lt;/year&gt;&lt;/dates&gt;&lt;isbn&gt;1664-3224&lt;/isbn&gt;&lt;urls&gt;&lt;/urls&gt;&lt;/record&gt;&lt;/Cite&gt;&lt;/EndNote&gt;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19</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So, we can conclude that </w:t>
      </w:r>
      <w:proofErr w:type="spellStart"/>
      <w:r w:rsidRPr="00892B36">
        <w:rPr>
          <w:rFonts w:ascii="Palatino Linotype" w:hAnsi="Palatino Linotype"/>
          <w:color w:val="000000" w:themeColor="text1"/>
          <w:sz w:val="18"/>
          <w:szCs w:val="18"/>
        </w:rPr>
        <w:t>DyGAF</w:t>
      </w:r>
      <w:proofErr w:type="spellEnd"/>
      <w:r w:rsidRPr="00892B36">
        <w:rPr>
          <w:rFonts w:ascii="Palatino Linotype" w:hAnsi="Palatino Linotype"/>
          <w:color w:val="000000" w:themeColor="text1"/>
          <w:sz w:val="18"/>
          <w:szCs w:val="18"/>
        </w:rPr>
        <w:t xml:space="preserve"> has successfully enriched nearly all the important GO terms that are critical for understanding the infection and progression of COVID-19.</w:t>
      </w:r>
    </w:p>
    <w:p w14:paraId="078C3954" w14:textId="4458F6AF" w:rsidR="00AC4002" w:rsidRPr="00892B36" w:rsidRDefault="00AC4002" w:rsidP="00AC4002">
      <w:pPr>
        <w:pStyle w:val="NormalWeb"/>
        <w:spacing w:after="0" w:afterAutospacing="0"/>
        <w:jc w:val="both"/>
        <w:rPr>
          <w:rFonts w:ascii="Palatino Linotype" w:hAnsi="Palatino Linotype"/>
          <w:b/>
          <w:bCs/>
          <w:i/>
          <w:iCs/>
          <w:color w:val="000000" w:themeColor="text1"/>
          <w:sz w:val="18"/>
          <w:szCs w:val="18"/>
        </w:rPr>
      </w:pPr>
      <w:r w:rsidRPr="00892B36">
        <w:rPr>
          <w:rFonts w:ascii="Palatino Linotype" w:hAnsi="Palatino Linotype"/>
          <w:b/>
          <w:bCs/>
          <w:i/>
          <w:iCs/>
          <w:color w:val="000000" w:themeColor="text1"/>
          <w:sz w:val="18"/>
          <w:szCs w:val="18"/>
        </w:rPr>
        <w:t>Insights from Pathway Analysis</w:t>
      </w:r>
    </w:p>
    <w:p w14:paraId="65E4773F" w14:textId="717FE408" w:rsidR="00BD130C" w:rsidRPr="00892B36" w:rsidRDefault="00BD130C" w:rsidP="00B1617F">
      <w:pPr>
        <w:pStyle w:val="NormalWeb"/>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 xml:space="preserve">Although nearly all biological aspects related to COVID-19 were discussed during the description of the GO terms, the KEGG and </w:t>
      </w:r>
      <w:proofErr w:type="spellStart"/>
      <w:r w:rsidRPr="00892B36">
        <w:rPr>
          <w:rFonts w:ascii="Palatino Linotype" w:hAnsi="Palatino Linotype"/>
          <w:color w:val="000000" w:themeColor="text1"/>
          <w:sz w:val="18"/>
          <w:szCs w:val="18"/>
        </w:rPr>
        <w:t>WikiPathways</w:t>
      </w:r>
      <w:proofErr w:type="spellEnd"/>
      <w:r w:rsidRPr="00892B36">
        <w:rPr>
          <w:rFonts w:ascii="Palatino Linotype" w:hAnsi="Palatino Linotype"/>
          <w:color w:val="000000" w:themeColor="text1"/>
          <w:sz w:val="18"/>
          <w:szCs w:val="18"/>
        </w:rPr>
        <w:t xml:space="preserve"> databases provide a more complex view of SARS-CoV-2 interactions and immunological responses (detailed in Supplemental Tables 5, 6, 8, 9, 11 and 12), revealing top pathways that are not covered by the GO analysis in </w:t>
      </w:r>
      <w:r w:rsidRPr="002F5256">
        <w:rPr>
          <w:rFonts w:ascii="Palatino Linotype" w:hAnsi="Palatino Linotype"/>
          <w:color w:val="000000" w:themeColor="text1"/>
          <w:sz w:val="18"/>
          <w:szCs w:val="18"/>
          <w:highlight w:val="yellow"/>
        </w:rPr>
        <w:t xml:space="preserve">Table </w:t>
      </w:r>
      <w:r w:rsidR="008C2007" w:rsidRPr="002F5256">
        <w:rPr>
          <w:rFonts w:ascii="Palatino Linotype" w:hAnsi="Palatino Linotype"/>
          <w:color w:val="000000" w:themeColor="text1"/>
          <w:sz w:val="18"/>
          <w:szCs w:val="18"/>
          <w:highlight w:val="yellow"/>
        </w:rPr>
        <w:t>2</w:t>
      </w:r>
      <w:r w:rsidRPr="002F5256">
        <w:rPr>
          <w:rFonts w:ascii="Palatino Linotype" w:hAnsi="Palatino Linotype"/>
          <w:color w:val="000000" w:themeColor="text1"/>
          <w:sz w:val="18"/>
          <w:szCs w:val="18"/>
          <w:highlight w:val="yellow"/>
        </w:rPr>
        <w:t xml:space="preserve"> and Table </w:t>
      </w:r>
      <w:r w:rsidR="008C2007" w:rsidRPr="002F5256">
        <w:rPr>
          <w:rFonts w:ascii="Palatino Linotype" w:hAnsi="Palatino Linotype"/>
          <w:color w:val="000000" w:themeColor="text1"/>
          <w:sz w:val="18"/>
          <w:szCs w:val="18"/>
          <w:highlight w:val="yellow"/>
        </w:rPr>
        <w:t>3</w:t>
      </w:r>
      <w:r w:rsidR="00813DE9" w:rsidRPr="00892B36">
        <w:rPr>
          <w:rFonts w:ascii="Palatino Linotype" w:hAnsi="Palatino Linotype"/>
          <w:color w:val="000000" w:themeColor="text1"/>
          <w:sz w:val="18"/>
          <w:szCs w:val="18"/>
        </w:rPr>
        <w:t xml:space="preserve"> </w:t>
      </w:r>
      <w:r w:rsidR="00181A2C" w:rsidRPr="00892B36">
        <w:rPr>
          <w:rFonts w:ascii="Palatino Linotype" w:hAnsi="Palatino Linotype"/>
          <w:color w:val="000000" w:themeColor="text1"/>
          <w:sz w:val="18"/>
          <w:szCs w:val="18"/>
        </w:rPr>
        <w:t>in the</w:t>
      </w:r>
      <w:r w:rsidR="00813DE9" w:rsidRPr="00892B36">
        <w:rPr>
          <w:rFonts w:ascii="Palatino Linotype" w:hAnsi="Palatino Linotype"/>
          <w:color w:val="000000" w:themeColor="text1"/>
          <w:sz w:val="18"/>
          <w:szCs w:val="18"/>
        </w:rPr>
        <w:t xml:space="preserve"> main manuscript</w:t>
      </w:r>
      <w:r w:rsidRPr="00892B36">
        <w:rPr>
          <w:rFonts w:ascii="Palatino Linotype" w:hAnsi="Palatino Linotype"/>
          <w:color w:val="000000" w:themeColor="text1"/>
          <w:sz w:val="18"/>
          <w:szCs w:val="18"/>
        </w:rPr>
        <w:t xml:space="preserve">. Specifically, the </w:t>
      </w:r>
      <w:proofErr w:type="spellStart"/>
      <w:r w:rsidRPr="00892B36">
        <w:rPr>
          <w:rFonts w:ascii="Palatino Linotype" w:hAnsi="Palatino Linotype"/>
          <w:color w:val="000000" w:themeColor="text1"/>
          <w:sz w:val="18"/>
          <w:szCs w:val="18"/>
        </w:rPr>
        <w:t>WikiPathways</w:t>
      </w:r>
      <w:proofErr w:type="spellEnd"/>
      <w:r w:rsidRPr="00892B36">
        <w:rPr>
          <w:rFonts w:ascii="Palatino Linotype" w:hAnsi="Palatino Linotype"/>
          <w:color w:val="000000" w:themeColor="text1"/>
          <w:sz w:val="18"/>
          <w:szCs w:val="18"/>
        </w:rPr>
        <w:t xml:space="preserve"> titled 'Network Map of SARS-CoV-2 Signaling Pathway' and 'SARS-CoV-2 Innate Immunity Evasion and Cell-Specific Immune Response' provide in-depth explanations of the molecular tactics the virus uses to evade host immune systems, details not fully captured by the general GO terms. These pathways highlight unique strategies for evasion and the resulting cellular responses, thus enhancing our understanding of the virus’s ability to persist and spread across diverse host environments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&lt;EndNote&gt;&lt;Cite&gt;&lt;Author&gt;Kasuga&lt;/Author&gt;&lt;Year&gt;2021&lt;/Year&gt;&lt;RecNum&gt;49&lt;/RecNum&gt;&lt;DisplayText&gt;&lt;style face="superscript"&gt;20&lt;/style&gt;&lt;/DisplayText&gt;&lt;record&gt;&lt;rec-number&gt;49&lt;/rec-number&gt;&lt;foreign-keys&gt;&lt;key app="EN" db-id="9tfa55a9nepsttertx0vawwcwp9z9vx5pfxe" timestamp="1713473390"&gt;49&lt;/key&gt;&lt;/foreign-keys&gt;&lt;ref-type name="Journal Article"&gt;17&lt;/ref-type&gt;&lt;contributors&gt;&lt;authors&gt;&lt;author&gt;Kasuga, Yusuke&lt;/author&gt;&lt;author&gt;Zhu, Baohui&lt;/author&gt;&lt;author&gt;Jang, Kyoung-Jin&lt;/author&gt;&lt;author&gt;Yoo, Ji-Seung&lt;/author&gt;&lt;/authors&gt;&lt;/contributors&gt;&lt;titles&gt;&lt;title&gt;Innate immune sensing of coronavirus and viral evasion strategies&lt;/title&gt;&lt;secondary-title&gt;Experimental &amp;amp; molecular medicine&lt;/secondary-title&gt;&lt;/titles&gt;&lt;periodical&gt;&lt;full-title&gt;Experimental &amp;amp; molecular medicine&lt;/full-title&gt;&lt;/periodical&gt;&lt;pages&gt;723-736&lt;/pages&gt;&lt;volume&gt;53&lt;/volume&gt;&lt;number&gt;5&lt;/number&gt;&lt;dates&gt;&lt;year&gt;2021&lt;/year&gt;&lt;/dates&gt;&lt;isbn&gt;1226-3613&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20</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Similarly, natural SARS-CoV-2 infection depletes dendritic cells, affecting long-term immunity through manipulation of the MAPK signaling </w:t>
      </w:r>
      <w:r w:rsidR="00951DC9" w:rsidRPr="00892B36">
        <w:rPr>
          <w:rFonts w:ascii="Palatino Linotype" w:hAnsi="Palatino Linotype"/>
          <w:color w:val="000000" w:themeColor="text1"/>
          <w:sz w:val="18"/>
          <w:szCs w:val="18"/>
        </w:rPr>
        <w:t>pathway</w:t>
      </w:r>
      <w:r w:rsidRPr="00892B36">
        <w:rPr>
          <w:rFonts w:ascii="Palatino Linotype" w:hAnsi="Palatino Linotype"/>
          <w:color w:val="000000" w:themeColor="text1"/>
          <w:sz w:val="18"/>
          <w:szCs w:val="18"/>
        </w:rPr>
        <w:t xml:space="preserve">, as described in the 'Host Pathogen Interaction of Human Coronaviruses MAPK Signaling WP4877' pathway. This modification, which is directed by the virus, circumvents the early immune defenses and hinders the activity of dendritic cells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&lt;EndNote&gt;&lt;Cite&gt;&lt;Author&gt;Chen&lt;/Author&gt;&lt;Year&gt;2021&lt;/Year&gt;&lt;RecNum&gt;50&lt;/RecNum&gt;&lt;DisplayText&gt;&lt;style face="superscript"&gt;21&lt;/style&gt;&lt;/DisplayText&gt;&lt;record&gt;&lt;rec-number&gt;50&lt;/rec-number&gt;&lt;foreign-keys&gt;&lt;key app="EN" db-id="9tfa55a9nepsttertx0vawwcwp9z9vx5pfxe" timestamp="1713477444"&gt;50&lt;/key&gt;&lt;/foreign-keys&gt;&lt;ref-type name="Journal Article"&gt;17&lt;/ref-type&gt;&lt;contributors&gt;&lt;authors&gt;&lt;author&gt;Chen, Jiezhong&lt;/author&gt;&lt;author&gt;Hall, Sean&lt;/author&gt;&lt;author&gt;Vitetta, Luis&lt;/author&gt;&lt;/authors&gt;&lt;/contributors&gt;&lt;titles&gt;&lt;title&gt;Altered gut microbial metabolites could mediate the effects of risk factors in Covid‐19&lt;/title&gt;&lt;secondary-title&gt;Reviews in Medical Virology&lt;/secondary-title&gt;&lt;/titles&gt;&lt;periodical&gt;&lt;full-title&gt;Reviews in Medical Virology&lt;/full-title&gt;&lt;/periodical&gt;&lt;pages&gt;1-13&lt;/pages&gt;&lt;volume&gt;31&lt;/volume&gt;&lt;number&gt;5&lt;/number&gt;&lt;dates&gt;&lt;year&gt;2021&lt;/year&gt;&lt;/dates&gt;&lt;isbn&gt;1052-9276&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21</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On the other hand, the</w:t>
      </w:r>
      <w:r w:rsidR="00951DC9" w:rsidRPr="00892B36">
        <w:rPr>
          <w:rFonts w:ascii="Palatino Linotype" w:hAnsi="Palatino Linotype"/>
          <w:color w:val="000000" w:themeColor="text1"/>
          <w:sz w:val="18"/>
          <w:szCs w:val="18"/>
        </w:rPr>
        <w:t xml:space="preserve"> </w:t>
      </w:r>
      <w:r w:rsidRPr="00892B36">
        <w:rPr>
          <w:rFonts w:ascii="Palatino Linotype" w:hAnsi="Palatino Linotype"/>
          <w:color w:val="000000" w:themeColor="text1"/>
          <w:sz w:val="18"/>
          <w:szCs w:val="18"/>
        </w:rPr>
        <w:t>mRNA Vaccine Activation of Dendritic Cell and Induction of IFN 1 pathway shows how mRNA vaccines restore immune function</w:t>
      </w:r>
      <w:r w:rsidR="00951DC9" w:rsidRPr="00892B36">
        <w:rPr>
          <w:rFonts w:ascii="Palatino Linotype" w:hAnsi="Palatino Linotype"/>
          <w:color w:val="000000" w:themeColor="text1"/>
          <w:sz w:val="18"/>
          <w:szCs w:val="18"/>
        </w:rPr>
        <w:t>s</w:t>
      </w:r>
      <w:r w:rsidRPr="00892B36">
        <w:rPr>
          <w:rFonts w:ascii="Palatino Linotype" w:hAnsi="Palatino Linotype"/>
          <w:color w:val="000000" w:themeColor="text1"/>
          <w:sz w:val="18"/>
          <w:szCs w:val="18"/>
        </w:rPr>
        <w:t xml:space="preserve"> and possibly reverse the virus's immunosuppressive effects by counteracting this by enhancing dendritic cell activation and promoting IFN-1 production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&lt;EndNote&gt;&lt;Cite&gt;&lt;Author&gt;Chen&lt;/Author&gt;&lt;Year&gt;2021&lt;/Year&gt;&lt;RecNum&gt;50&lt;/RecNum&gt;&lt;DisplayText&gt;&lt;style face="superscript"&gt;21,22&lt;/style&gt;&lt;/DisplayText&gt;&lt;record&gt;&lt;rec-number&gt;50&lt;/rec-number&gt;&lt;foreign-keys&gt;&lt;key app="EN" db-id="9tfa55a9nepsttertx0vawwcwp9z9vx5pfxe" timestamp="1713477444"&gt;50&lt;/key&gt;&lt;/foreign-keys&gt;&lt;ref-type name="Journal Article"&gt;17&lt;/ref-type&gt;&lt;contributors&gt;&lt;authors&gt;&lt;author&gt;Chen, Jiezhong&lt;/author&gt;&lt;author&gt;Hall, Sean&lt;/author&gt;&lt;author&gt;Vitetta, Luis&lt;/author&gt;&lt;/authors&gt;&lt;/contributors&gt;&lt;titles&gt;&lt;title&gt;Altered gut microbial metabolites could mediate the effects of risk factors in Covid‐19&lt;/title&gt;&lt;secondary-title&gt;Reviews in Medical Virology&lt;/secondary-title&gt;&lt;/titles&gt;&lt;periodical&gt;&lt;full-title&gt;Reviews in Medical Virology&lt;/full-title&gt;&lt;/periodical&gt;&lt;pages&gt;1-13&lt;/pages&gt;&lt;volume&gt;31&lt;/volume&gt;&lt;number&gt;5&lt;/number&gt;&lt;dates&gt;&lt;year&gt;2021&lt;/year&gt;&lt;/dates&gt;&lt;isbn&gt;1052-9276&lt;/isbn&gt;&lt;urls&gt;&lt;/urls&gt;&lt;/record&gt;&lt;/Cite&gt;&lt;Cite&gt;&lt;Author&gt;Galati&lt;/Author&gt;&lt;Year&gt;2022&lt;/Year&gt;&lt;RecNum&gt;51&lt;/RecNum&gt;&lt;record&gt;&lt;rec-number&gt;51&lt;/rec-number&gt;&lt;foreign-keys&gt;&lt;key app="EN" db-id="9tfa55a9nepsttertx0vawwcwp9z9vx5pfxe" timestamp="1713477505"&gt;51&lt;/key&gt;&lt;/foreign-keys&gt;&lt;ref-type name="Journal Article"&gt;17&lt;/ref-type&gt;&lt;contributors&gt;&lt;authors&gt;&lt;author&gt;Galati, Domenico&lt;/author&gt;&lt;author&gt;Zanotta, Serena&lt;/author&gt;&lt;author&gt;Capitelli, Ludovica&lt;/author&gt;&lt;author&gt;Bocchino, Marialuisa&lt;/author&gt;&lt;/authors&gt;&lt;/contributors&gt;&lt;titles&gt;&lt;title&gt;A bird&amp;apos;s eye view on the role of dendritic cells in SARS‐CoV‐2 infection: Perspectives for immune‐based vaccines&lt;/title&gt;&lt;secondary-title&gt;Allergy&lt;/secondary-title&gt;&lt;/titles&gt;&lt;periodical&gt;&lt;full-title&gt;Allergy&lt;/full-title&gt;&lt;/periodical&gt;&lt;pages&gt;100-110&lt;/pages&gt;&lt;volume&gt;77&lt;/volume&gt;&lt;number&gt;1&lt;/number&gt;&lt;dates&gt;&lt;year&gt;2022&lt;/year&gt;&lt;/dates&gt;&lt;isbn&gt;0105-4538&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21,22</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w:t>
      </w:r>
    </w:p>
    <w:p w14:paraId="5F4202DF" w14:textId="2D06BB53" w:rsidR="00AC4002" w:rsidRPr="00892B36" w:rsidRDefault="00AC4002" w:rsidP="00AC4002">
      <w:pPr>
        <w:pStyle w:val="NormalWeb"/>
        <w:spacing w:after="0" w:afterAutospacing="0"/>
        <w:jc w:val="both"/>
        <w:rPr>
          <w:rFonts w:ascii="Palatino Linotype" w:hAnsi="Palatino Linotype"/>
          <w:b/>
          <w:bCs/>
          <w:i/>
          <w:iCs/>
          <w:color w:val="000000" w:themeColor="text1"/>
          <w:sz w:val="18"/>
          <w:szCs w:val="18"/>
        </w:rPr>
      </w:pPr>
      <w:r w:rsidRPr="00892B36">
        <w:rPr>
          <w:rFonts w:ascii="Palatino Linotype" w:hAnsi="Palatino Linotype"/>
          <w:b/>
          <w:bCs/>
          <w:i/>
          <w:iCs/>
          <w:color w:val="000000" w:themeColor="text1"/>
          <w:sz w:val="18"/>
          <w:szCs w:val="18"/>
        </w:rPr>
        <w:t>Understanding Protein Networks and Regulatory Interactions</w:t>
      </w:r>
      <w:r w:rsidRPr="002F5256">
        <w:rPr>
          <w:rFonts w:ascii="Palatino Linotype" w:hAnsi="Palatino Linotype"/>
          <w:b/>
          <w:bCs/>
          <w:i/>
          <w:iCs/>
          <w:color w:val="000000" w:themeColor="text1"/>
          <w:sz w:val="18"/>
          <w:szCs w:val="18"/>
          <w:highlight w:val="yellow"/>
        </w:rPr>
        <w:t xml:space="preserve">: </w:t>
      </w:r>
      <w:r w:rsidR="004E0D1D" w:rsidRPr="002F5256">
        <w:rPr>
          <w:rFonts w:ascii="Palatino Linotype" w:hAnsi="Palatino Linotype"/>
          <w:color w:val="000000" w:themeColor="text1"/>
          <w:sz w:val="18"/>
          <w:szCs w:val="18"/>
          <w:highlight w:val="yellow"/>
        </w:rPr>
        <w:t>P</w:t>
      </w:r>
      <w:r w:rsidR="004E0D1D" w:rsidRPr="002F5256">
        <w:rPr>
          <w:rFonts w:ascii="Palatino Linotype" w:hAnsi="Palatino Linotype"/>
          <w:color w:val="000000" w:themeColor="text1"/>
          <w:sz w:val="18"/>
          <w:szCs w:val="18"/>
          <w:highlight w:val="yellow"/>
        </w:rPr>
        <w:t>rotein-</w:t>
      </w:r>
      <w:r w:rsidR="004E0D1D" w:rsidRPr="002F5256">
        <w:rPr>
          <w:rFonts w:ascii="Palatino Linotype" w:hAnsi="Palatino Linotype"/>
          <w:color w:val="000000" w:themeColor="text1"/>
          <w:sz w:val="18"/>
          <w:szCs w:val="18"/>
          <w:highlight w:val="yellow"/>
        </w:rPr>
        <w:t>P</w:t>
      </w:r>
      <w:r w:rsidR="004E0D1D" w:rsidRPr="002F5256">
        <w:rPr>
          <w:rFonts w:ascii="Palatino Linotype" w:hAnsi="Palatino Linotype"/>
          <w:color w:val="000000" w:themeColor="text1"/>
          <w:sz w:val="18"/>
          <w:szCs w:val="18"/>
          <w:highlight w:val="yellow"/>
        </w:rPr>
        <w:t xml:space="preserve">rotein </w:t>
      </w:r>
      <w:r w:rsidR="004E0D1D" w:rsidRPr="002F5256">
        <w:rPr>
          <w:rFonts w:ascii="Palatino Linotype" w:hAnsi="Palatino Linotype"/>
          <w:color w:val="000000" w:themeColor="text1"/>
          <w:sz w:val="18"/>
          <w:szCs w:val="18"/>
          <w:highlight w:val="yellow"/>
        </w:rPr>
        <w:t>I</w:t>
      </w:r>
      <w:r w:rsidR="004E0D1D" w:rsidRPr="002F5256">
        <w:rPr>
          <w:rFonts w:ascii="Palatino Linotype" w:hAnsi="Palatino Linotype"/>
          <w:color w:val="000000" w:themeColor="text1"/>
          <w:sz w:val="18"/>
          <w:szCs w:val="18"/>
          <w:highlight w:val="yellow"/>
        </w:rPr>
        <w:t xml:space="preserve">nteraction </w:t>
      </w:r>
      <w:r w:rsidR="004E0D1D" w:rsidRPr="002F5256">
        <w:rPr>
          <w:rFonts w:ascii="Palatino Linotype" w:hAnsi="Palatino Linotype"/>
          <w:color w:val="000000" w:themeColor="text1"/>
          <w:sz w:val="18"/>
          <w:szCs w:val="18"/>
          <w:highlight w:val="yellow"/>
        </w:rPr>
        <w:t>(</w:t>
      </w:r>
      <w:r w:rsidRPr="002F5256">
        <w:rPr>
          <w:rFonts w:ascii="Palatino Linotype" w:hAnsi="Palatino Linotype"/>
          <w:b/>
          <w:bCs/>
          <w:i/>
          <w:iCs/>
          <w:color w:val="000000" w:themeColor="text1"/>
          <w:sz w:val="18"/>
          <w:szCs w:val="18"/>
          <w:highlight w:val="yellow"/>
        </w:rPr>
        <w:t>PPI</w:t>
      </w:r>
      <w:r w:rsidR="004E0D1D" w:rsidRPr="002F5256">
        <w:rPr>
          <w:rFonts w:ascii="Palatino Linotype" w:hAnsi="Palatino Linotype"/>
          <w:b/>
          <w:bCs/>
          <w:i/>
          <w:iCs/>
          <w:color w:val="000000" w:themeColor="text1"/>
          <w:sz w:val="18"/>
          <w:szCs w:val="18"/>
          <w:highlight w:val="yellow"/>
        </w:rPr>
        <w:t>)</w:t>
      </w:r>
      <w:r w:rsidRPr="00892B36">
        <w:rPr>
          <w:rFonts w:ascii="Palatino Linotype" w:hAnsi="Palatino Linotype"/>
          <w:b/>
          <w:bCs/>
          <w:i/>
          <w:iCs/>
          <w:color w:val="000000" w:themeColor="text1"/>
          <w:sz w:val="18"/>
          <w:szCs w:val="18"/>
        </w:rPr>
        <w:t xml:space="preserve"> and TF-Gene Analysis</w:t>
      </w:r>
    </w:p>
    <w:p w14:paraId="08BFA9EB" w14:textId="525BF50D" w:rsidR="00420016" w:rsidRPr="00892B36" w:rsidRDefault="00C251EC" w:rsidP="00B1617F">
      <w:pPr>
        <w:pStyle w:val="NormalWeb"/>
        <w:jc w:val="both"/>
        <w:rPr>
          <w:rFonts w:ascii="Palatino Linotype" w:hAnsi="Palatino Linotype"/>
          <w:color w:val="000000" w:themeColor="text1"/>
          <w:sz w:val="18"/>
          <w:szCs w:val="18"/>
        </w:rPr>
      </w:pPr>
      <w:r w:rsidRPr="00892B36">
        <w:rPr>
          <w:rFonts w:ascii="Palatino Linotype" w:hAnsi="Palatino Linotype"/>
          <w:color w:val="000000" w:themeColor="text1"/>
          <w:sz w:val="18"/>
          <w:szCs w:val="18"/>
        </w:rPr>
        <w:t>We performed a protein-protein interaction (PPI) analysis</w:t>
      </w:r>
      <w:r w:rsidR="00BE1CB3" w:rsidRPr="00892B36">
        <w:rPr>
          <w:rFonts w:ascii="Palatino Linotype" w:hAnsi="Palatino Linotype"/>
          <w:color w:val="000000" w:themeColor="text1"/>
          <w:sz w:val="18"/>
          <w:szCs w:val="18"/>
        </w:rPr>
        <w:t xml:space="preserve"> of the </w:t>
      </w:r>
      <w:proofErr w:type="spellStart"/>
      <w:r w:rsidR="00BE1CB3" w:rsidRPr="00892B36">
        <w:rPr>
          <w:rFonts w:ascii="Palatino Linotype" w:hAnsi="Palatino Linotype"/>
          <w:color w:val="000000" w:themeColor="text1"/>
          <w:sz w:val="18"/>
          <w:szCs w:val="18"/>
        </w:rPr>
        <w:t>DyGAF</w:t>
      </w:r>
      <w:proofErr w:type="spellEnd"/>
      <w:r w:rsidR="00BE1CB3" w:rsidRPr="00892B36">
        <w:rPr>
          <w:rFonts w:ascii="Palatino Linotype" w:hAnsi="Palatino Linotype"/>
          <w:color w:val="000000" w:themeColor="text1"/>
          <w:sz w:val="18"/>
          <w:szCs w:val="18"/>
        </w:rPr>
        <w:t xml:space="preserve"> biomarkers</w:t>
      </w:r>
      <w:r w:rsidRPr="00892B36">
        <w:rPr>
          <w:rFonts w:ascii="Palatino Linotype" w:hAnsi="Palatino Linotype"/>
          <w:color w:val="000000" w:themeColor="text1"/>
          <w:sz w:val="18"/>
          <w:szCs w:val="18"/>
        </w:rPr>
        <w:t xml:space="preserve"> and identified the top 10 hub proteins, which include: H2AC4, H3C13, H4C14, ASF1A, OAS1, OAS2, OAS3, DDX58, DHX58, and CXCL13 (F</w:t>
      </w:r>
      <w:r w:rsidRPr="002F5256">
        <w:rPr>
          <w:rFonts w:ascii="Palatino Linotype" w:hAnsi="Palatino Linotype"/>
          <w:color w:val="000000" w:themeColor="text1"/>
          <w:sz w:val="18"/>
          <w:szCs w:val="18"/>
          <w:highlight w:val="yellow"/>
        </w:rPr>
        <w:t xml:space="preserve">igure </w:t>
      </w:r>
      <w:r w:rsidR="008C2007" w:rsidRPr="002F5256">
        <w:rPr>
          <w:rFonts w:ascii="Palatino Linotype" w:hAnsi="Palatino Linotype"/>
          <w:color w:val="000000" w:themeColor="text1"/>
          <w:sz w:val="18"/>
          <w:szCs w:val="18"/>
          <w:highlight w:val="yellow"/>
        </w:rPr>
        <w:t>6</w:t>
      </w:r>
      <w:r w:rsidRPr="00892B36">
        <w:rPr>
          <w:rFonts w:ascii="Palatino Linotype" w:hAnsi="Palatino Linotype"/>
          <w:color w:val="000000" w:themeColor="text1"/>
          <w:sz w:val="18"/>
          <w:szCs w:val="18"/>
        </w:rPr>
        <w:t xml:space="preserve">). Histone proteins H2AC4, H3C13, and H4C14 are involved in the formation of Neutrophil Extracellular Traps (NETs ), which SARS-CoV-2 may exploit to enhance its infection of host cells, representing a novel aspect of virus-host interaction in COVID-19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&lt;EndNote&gt;&lt;Cite&gt;&lt;Author&gt;Hong&lt;/Author&gt;&lt;Year&gt;2022&lt;/Year&gt;&lt;RecNum&gt;52&lt;/RecNum&gt;&lt;DisplayText&gt;&lt;style face="superscript"&gt;23&lt;/style&gt;&lt;/DisplayText&gt;&lt;record&gt;&lt;rec-number&gt;52&lt;/rec-number&gt;&lt;foreign-keys&gt;&lt;key app="EN" db-id="9tfa55a9nepsttertx0vawwcwp9z9vx5pfxe" timestamp="1713507885"&gt;52&lt;/key&gt;&lt;/foreign-keys&gt;&lt;ref-type name="Journal Article"&gt;17&lt;/ref-type&gt;&lt;contributors&gt;&lt;authors&gt;&lt;author&gt;Hong, Weiqi&lt;/author&gt;&lt;author&gt;Yang, Jingyun&lt;/author&gt;&lt;author&gt;Zou, Jun&lt;/author&gt;&lt;author&gt;Bi, Zhenfei&lt;/author&gt;&lt;author&gt;He, Cai&lt;/author&gt;&lt;author&gt;Lei, Hong&lt;/author&gt;&lt;author&gt;He, Xuemei&lt;/author&gt;&lt;author&gt;Li, Xue&lt;/author&gt;&lt;author&gt;Alu, Aqu&lt;/author&gt;&lt;author&gt;Ren, Wenyan&lt;/author&gt;&lt;/authors&gt;&lt;/contributors&gt;&lt;titles&gt;&lt;title&gt;Histones released by NETosis enhance the infectivity of SARS-CoV-2 by bridging the spike protein subunit 2 and sialic acid on host cells&lt;/title&gt;&lt;secondary-title&gt;Cellular &amp;amp; Molecular Immunology&lt;/secondary-title&gt;&lt;/titles&gt;&lt;periodical&gt;&lt;full-title&gt;Cellular &amp;amp; Molecular Immunology&lt;/full-title&gt;&lt;/periodical&gt;&lt;pages&gt;577-587&lt;/pages&gt;&lt;volume&gt;19&lt;/volume&gt;&lt;number&gt;5&lt;/number&gt;&lt;dates&gt;&lt;year&gt;2022&lt;/year&gt;&lt;/dates&gt;&lt;isbn&gt;2042-0226&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23</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ASF1A influences the expression of viral and cellular genes, potentially hindering viral replication and improving the body's antiviral response; it could also help develop cell lines more susceptible to human coronaviruses, aiding in vaccine development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&lt;EndNote&gt;&lt;Cite&gt;&lt;Author&gt;Wei&lt;/Author&gt;&lt;Year&gt;2021&lt;/Year&gt;&lt;RecNum&gt;53&lt;/RecNum&gt;&lt;DisplayText&gt;&lt;style face="superscript"&gt;24&lt;/style&gt;&lt;/DisplayText&gt;&lt;record&gt;&lt;rec-number&gt;53&lt;/rec-number&gt;&lt;foreign-keys&gt;&lt;key app="EN" db-id="9tfa55a9nepsttertx0vawwcwp9z9vx5pfxe" timestamp="1713508595"&gt;53&lt;/key&gt;&lt;/foreign-keys&gt;&lt;ref-type name="Journal Article"&gt;17&lt;/ref-type&gt;&lt;contributors&gt;&lt;authors&gt;&lt;author&gt;Wei, Jin&lt;/author&gt;&lt;author&gt;Alfajaro, Mia Madel&lt;/author&gt;&lt;author&gt;DeWeirdt, Peter C&lt;/author&gt;&lt;author&gt;Hanna, Ruth E&lt;/author&gt;&lt;author&gt;Lu-Culligan, William J&lt;/author&gt;&lt;author&gt;Cai, Wesley L&lt;/author&gt;&lt;author&gt;Strine, Madison S&lt;/author&gt;&lt;author&gt;Zhang, Shang-Min&lt;/author&gt;&lt;author&gt;Graziano, Vincent R&lt;/author&gt;&lt;author&gt;Schmitz, Cameron O&lt;/author&gt;&lt;/authors&gt;&lt;/contributors&gt;&lt;titles&gt;&lt;title&gt;Genome-wide CRISPR screens reveal host factors critical for SARS-CoV-2 infection&lt;/title&gt;&lt;secondary-title&gt;Cell&lt;/secondary-title&gt;&lt;/titles&gt;&lt;periodical&gt;&lt;full-title&gt;Cell&lt;/full-title&gt;&lt;/periodical&gt;&lt;pages&gt;76-91. e13&lt;/pages&gt;&lt;volume&gt;184&lt;/volume&gt;&lt;number&gt;1&lt;/number&gt;&lt;dates&gt;&lt;year&gt;2021&lt;/year&gt;&lt;/dates&gt;&lt;isbn&gt;0092-8674&lt;/isbn&gt;&lt;urls&gt;&lt;/urls&gt;&lt;/record&gt;&lt;/Cite&gt;&lt;/EndNote&gt;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24</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The OAS genes—OAS1, OAS2, and OAS3—are crucial in defending against SARS-CoV-2 by producing enzymes activated by interferon. These enzymes trigger RNase L to degrade viral RNA, inhibiting viral replication and promoting the destruction of infected cells, thus controlling the spread of COVID-19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&lt;EndNote&gt;&lt;Cite&gt;&lt;Author&gt;Banday&lt;/Author&gt;&lt;Year&gt;2022&lt;/Year&gt;&lt;RecNum&gt;54&lt;/RecNum&gt;&lt;DisplayText&gt;&lt;style face="superscript"&gt;25&lt;/style&gt;&lt;/DisplayText&gt;&lt;record&gt;&lt;rec-number&gt;54&lt;/rec-number&gt;&lt;foreign-keys&gt;&lt;key app="EN" db-id="9tfa55a9nepsttertx0vawwcwp9z9vx5pfxe" timestamp="1713509730"&gt;54&lt;/key&gt;&lt;/foreign-keys&gt;&lt;ref-type name="Journal Article"&gt;17&lt;/ref-type&gt;&lt;contributors&gt;&lt;authors&gt;&lt;author&gt;Banday, A Rouf&lt;/author&gt;&lt;author&gt;Stanifer, Megan L&lt;/author&gt;&lt;author&gt;Florez-Vargas, Oscar&lt;/author&gt;&lt;author&gt;Onabajo, Olusegun O&lt;/author&gt;&lt;author&gt;Papenberg, Brenen W&lt;/author&gt;&lt;author&gt;Zahoor, Muhammad A&lt;/author&gt;&lt;author&gt;Mirabello, Lisa&lt;/author&gt;&lt;author&gt;Ring, Timothy J&lt;/author&gt;&lt;author&gt;Lee, Chia-Han&lt;/author&gt;&lt;author&gt;Albert, Paul S&lt;/author&gt;&lt;/authors&gt;&lt;/contributors&gt;&lt;titles&gt;&lt;title&gt;Genetic regulation of OAS1 nonsense-mediated decay underlies association with COVID-19 hospitalization in patients of European and African ancestries&lt;/title&gt;&lt;secondary-title&gt;Nature genetics&lt;/secondary-title&gt;&lt;/titles&gt;&lt;periodical&gt;&lt;full-title&gt;Nature genetics&lt;/full-title&gt;&lt;/periodical&gt;&lt;pages&gt;1103-1116&lt;/pages&gt;&lt;volume&gt;54&lt;/volume&gt;&lt;number&gt;8&lt;/number&gt;&lt;dates&gt;&lt;year&gt;2022&lt;/year&gt;&lt;/dates&gt;&lt;isbn&gt;1061-4036&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25</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However, DDX58 (RIG-I) and DHX58 (LGP2) are also key sensors for early detection of SARS-CoV-2, activating type I interferon signaling via MAVS and regulating this pathway to ensure a balanced immune defense crucial for effective COVID-19 management </w:t>
      </w:r>
      <w:r w:rsidRPr="00892B36">
        <w:rPr>
          <w:rFonts w:ascii="Palatino Linotype" w:hAnsi="Palatino Linotype"/>
          <w:color w:val="000000" w:themeColor="text1"/>
          <w:sz w:val="18"/>
          <w:szCs w:val="18"/>
        </w:rPr>
        <w:fldChar w:fldCharType="begin">
          <w:fldData xml:space="preserve">PEVuZE5vdGU+PENpdGU+PEF1dGhvcj5DYXN0YW5lZGE8L0F1dGhvcj48WWVhcj4yMDIzPC9ZZWFy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</w:fldData>
        </w:fldChar>
      </w:r>
      <w:r w:rsidR="00EF47E9">
        <w:rPr>
          <w:rFonts w:ascii="Palatino Linotype" w:hAnsi="Palatino Linotype"/>
          <w:color w:val="000000" w:themeColor="text1"/>
          <w:sz w:val="18"/>
          <w:szCs w:val="18"/>
        </w:rPr>
        <w:instrText xml:space="preserve"> ADDIN EN.CITE </w:instrText>
      </w:r>
      <w:r w:rsidR="00EF47E9">
        <w:rPr>
          <w:rFonts w:ascii="Palatino Linotype" w:hAnsi="Palatino Linotype"/>
          <w:color w:val="000000" w:themeColor="text1"/>
          <w:sz w:val="18"/>
          <w:szCs w:val="18"/>
        </w:rPr>
        <w:fldChar w:fldCharType="begin">
          <w:fldData xml:space="preserve">PEVuZE5vdGU+PENpdGU+PEF1dGhvcj5DYXN0YW5lZGE8L0F1dGhvcj48WWVhcj4yMDIzPC9ZZWFy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</w:fldData>
        </w:fldChar>
      </w:r>
      <w:r w:rsidR="00EF47E9">
        <w:rPr>
          <w:rFonts w:ascii="Palatino Linotype" w:hAnsi="Palatino Linotype"/>
          <w:color w:val="000000" w:themeColor="text1"/>
          <w:sz w:val="18"/>
          <w:szCs w:val="18"/>
        </w:rPr>
        <w:instrText xml:space="preserve"> ADDIN EN.CITE.DATA </w:instrText>
      </w:r>
      <w:r w:rsidR="00EF47E9">
        <w:rPr>
          <w:rFonts w:ascii="Palatino Linotype" w:hAnsi="Palatino Linotype"/>
          <w:color w:val="000000" w:themeColor="text1"/>
          <w:sz w:val="18"/>
          <w:szCs w:val="18"/>
        </w:rPr>
      </w:r>
      <w:r w:rsidR="00EF47E9">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26,27</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 xml:space="preserve">. Finally, CXCL13, a pro-inflammatory cytokine, plays a role in severe COVID-19 by affecting lymphoid tissue structure and B cell maturation. Elevated levels of CXCL13 correlate with severe outcomes and higher mortality in interstitial lung diseases, and its heightened presence indicates increased inflammation during COVID-19, potentially leading to critical conditions such as ICU admission or death. The CXCL13/CXCR5 axis interacts with key inflammatory pathways including ERK/MAPK and PI3K/AKT, which are involved in the immune response </w:t>
      </w:r>
      <w:r w:rsidRPr="00892B36">
        <w:rPr>
          <w:rFonts w:ascii="Palatino Linotype" w:hAnsi="Palatino Linotype"/>
          <w:color w:val="000000" w:themeColor="text1"/>
          <w:sz w:val="18"/>
          <w:szCs w:val="18"/>
        </w:rPr>
        <w:fldChar w:fldCharType="begin"/>
      </w:r>
      <w:r w:rsidR="00EF47E9">
        <w:rPr>
          <w:rFonts w:ascii="Palatino Linotype" w:hAnsi="Palatino Linotype"/>
          <w:color w:val="000000" w:themeColor="text1"/>
          <w:sz w:val="18"/>
          <w:szCs w:val="18"/>
        </w:rPr>
        <w:instrText xml:space="preserve"> ADDIN EN.CITE &lt;EndNote&gt;&lt;Cite&gt;&lt;Author&gt;Perreau&lt;/Author&gt;&lt;Year&gt;2021&lt;/Year&gt;&lt;RecNum&gt;57&lt;/RecNum&gt;&lt;DisplayText&gt;&lt;style face="superscript"&gt;28&lt;/style&gt;&lt;/DisplayText&gt;&lt;record&gt;&lt;rec-number&gt;57&lt;/rec-number&gt;&lt;foreign-keys&gt;&lt;key app="EN" db-id="9tfa55a9nepsttertx0vawwcwp9z9vx5pfxe" timestamp="1713511538"&gt;57&lt;/key&gt;&lt;/foreign-keys&gt;&lt;ref-type name="Journal Article"&gt;17&lt;/ref-type&gt;&lt;contributors&gt;&lt;authors&gt;&lt;author&gt;Perreau, Matthieu&lt;/author&gt;&lt;author&gt;Suffiotti, Madeleine&lt;/author&gt;&lt;author&gt;Marques-Vidal, Pedro&lt;/author&gt;&lt;author&gt;Wiedemann, Aurelie&lt;/author&gt;&lt;author&gt;Levy, Yves&lt;/author&gt;&lt;author&gt;Laouénan, Cédric&lt;/author&gt;&lt;author&gt;Ghosn, Jade&lt;/author&gt;&lt;author&gt;Fenwick, Craig&lt;/author&gt;&lt;author&gt;Comte, Denis&lt;/author&gt;&lt;author&gt;Roger, Thierry&lt;/author&gt;&lt;/authors&gt;&lt;/contributors&gt;&lt;titles&gt;&lt;title&gt;The cytokines HGF and CXCL13 predict the severity and the mortality in COVID-19 patients&lt;/title&gt;&lt;secondary-title&gt;Nature Communications&lt;/secondary-title&gt;&lt;/titles&gt;&lt;periodical&gt;&lt;full-title&gt;Nature Communications&lt;/full-title&gt;&lt;/periodical&gt;&lt;pages&gt;4888&lt;/pages&gt;&lt;volume&gt;12&lt;/volume&gt;&lt;number&gt;1&lt;/number&gt;&lt;dates&gt;&lt;year&gt;2021&lt;/year&gt;&lt;/dates&gt;&lt;isbn&gt;2041-1723&lt;/isbn&gt;&lt;urls&gt;&lt;/urls&gt;&lt;/record&gt;&lt;/Cite&gt;&lt;/EndNote&gt;</w:instrText>
      </w:r>
      <w:r w:rsidRPr="00892B36">
        <w:rPr>
          <w:rFonts w:ascii="Palatino Linotype" w:hAnsi="Palatino Linotype"/>
          <w:color w:val="000000" w:themeColor="text1"/>
          <w:sz w:val="18"/>
          <w:szCs w:val="18"/>
        </w:rPr>
        <w:fldChar w:fldCharType="separate"/>
      </w:r>
      <w:r w:rsidR="00EF47E9" w:rsidRPr="00EF47E9">
        <w:rPr>
          <w:rFonts w:ascii="Palatino Linotype" w:hAnsi="Palatino Linotype"/>
          <w:noProof/>
          <w:color w:val="000000" w:themeColor="text1"/>
          <w:sz w:val="18"/>
          <w:szCs w:val="18"/>
          <w:vertAlign w:val="superscript"/>
        </w:rPr>
        <w:t>28</w:t>
      </w:r>
      <w:r w:rsidRPr="00892B36">
        <w:rPr>
          <w:rFonts w:ascii="Palatino Linotype" w:hAnsi="Palatino Linotype"/>
          <w:color w:val="000000" w:themeColor="text1"/>
          <w:sz w:val="18"/>
          <w:szCs w:val="18"/>
        </w:rPr>
        <w:fldChar w:fldCharType="end"/>
      </w:r>
      <w:r w:rsidRPr="00892B36">
        <w:rPr>
          <w:rFonts w:ascii="Palatino Linotype" w:hAnsi="Palatino Linotype"/>
          <w:color w:val="000000" w:themeColor="text1"/>
          <w:sz w:val="18"/>
          <w:szCs w:val="18"/>
        </w:rPr>
        <w:t>.</w:t>
      </w:r>
      <w:r w:rsidR="008E1F04" w:rsidRPr="00892B36">
        <w:rPr>
          <w:rFonts w:ascii="Palatino Linotype" w:hAnsi="Palatino Linotype"/>
          <w:color w:val="000000" w:themeColor="text1"/>
          <w:sz w:val="18"/>
          <w:szCs w:val="18"/>
        </w:rPr>
        <w:t xml:space="preserve"> Our protein-protein interaction analysis revealed critical hub proteins such as histones, ASF1A, OAS enzymes, DDX58, and CXCL13, each contributing significantly to the body's defense against SARS-CoV-2. Our protein-protein interaction analysis revealed critical hub proteins such as histones, ASF1A, OAS enzymes, DDX58, and CXCL13, each contributing significantly to the body's defense against SARS-CoV-2. Overall, </w:t>
      </w:r>
      <w:r w:rsidR="005A0A7D" w:rsidRPr="00892B36">
        <w:rPr>
          <w:rFonts w:ascii="Palatino Linotype" w:hAnsi="Palatino Linotype"/>
          <w:color w:val="000000" w:themeColor="text1"/>
          <w:sz w:val="18"/>
          <w:szCs w:val="18"/>
        </w:rPr>
        <w:t>biomarker’s</w:t>
      </w:r>
      <w:r w:rsidR="008E1F04" w:rsidRPr="00892B36">
        <w:rPr>
          <w:rFonts w:ascii="Palatino Linotype" w:hAnsi="Palatino Linotype"/>
          <w:color w:val="000000" w:themeColor="text1"/>
          <w:sz w:val="18"/>
          <w:szCs w:val="18"/>
        </w:rPr>
        <w:t xml:space="preserve"> role underscores the intricate interplay between host and virus, offering insights into potential strategies to alleviate the severity of COVID-19.</w:t>
      </w:r>
      <w:bookmarkEnd w:id="0"/>
      <w:r w:rsidR="005F2679" w:rsidRPr="00892B36">
        <w:rPr>
          <w:rFonts w:ascii="Palatino Linotype" w:hAnsi="Palatino Linotype"/>
          <w:color w:val="000000" w:themeColor="text1"/>
          <w:sz w:val="18"/>
          <w:szCs w:val="18"/>
        </w:rPr>
        <w:t xml:space="preserve"> These </w:t>
      </w:r>
      <w:r w:rsidR="005F2679" w:rsidRPr="00892B36">
        <w:rPr>
          <w:rFonts w:ascii="Palatino Linotype" w:hAnsi="Palatino Linotype"/>
          <w:color w:val="000000" w:themeColor="text1"/>
          <w:sz w:val="18"/>
          <w:szCs w:val="18"/>
        </w:rPr>
        <w:lastRenderedPageBreak/>
        <w:t xml:space="preserve">hub proteins play diverse roles, from enhancing viral entry to inhibiting viral replication and modulating immune responses, marking them as potential targets for therapy. This demonstrates </w:t>
      </w:r>
      <w:proofErr w:type="spellStart"/>
      <w:r w:rsidR="005F2679" w:rsidRPr="00892B36">
        <w:rPr>
          <w:rFonts w:ascii="Palatino Linotype" w:hAnsi="Palatino Linotype"/>
          <w:color w:val="000000" w:themeColor="text1"/>
          <w:sz w:val="18"/>
          <w:szCs w:val="18"/>
        </w:rPr>
        <w:t>DyGAF's</w:t>
      </w:r>
      <w:proofErr w:type="spellEnd"/>
      <w:r w:rsidR="005F2679" w:rsidRPr="00892B36">
        <w:rPr>
          <w:rFonts w:ascii="Palatino Linotype" w:hAnsi="Palatino Linotype"/>
          <w:color w:val="000000" w:themeColor="text1"/>
          <w:sz w:val="18"/>
          <w:szCs w:val="18"/>
        </w:rPr>
        <w:t xml:space="preserve"> superior performance compared to other methods.</w:t>
      </w:r>
    </w:p>
    <w:p w14:paraId="108EA71B" w14:textId="07CEAC16" w:rsidR="003C71DD" w:rsidRPr="00892B36" w:rsidRDefault="003C71DD" w:rsidP="00B1617F">
      <w:pPr>
        <w:pStyle w:val="NormalWeb"/>
        <w:jc w:val="both"/>
        <w:rPr>
          <w:rFonts w:ascii="Palatino Linotype" w:hAnsi="Palatino Linotype"/>
          <w:color w:val="000000" w:themeColor="text1"/>
          <w:sz w:val="18"/>
          <w:szCs w:val="18"/>
          <w:lang w:bidi="en-US"/>
        </w:rPr>
      </w:pPr>
      <w:r w:rsidRPr="00892B36">
        <w:rPr>
          <w:rFonts w:ascii="Palatino Linotype" w:hAnsi="Palatino Linotype"/>
          <w:color w:val="000000" w:themeColor="text1"/>
          <w:sz w:val="18"/>
          <w:szCs w:val="18"/>
          <w:lang w:bidi="en-US"/>
        </w:rPr>
        <w:t xml:space="preserve">Then, we utilized </w:t>
      </w:r>
      <w:proofErr w:type="spellStart"/>
      <w:r w:rsidRPr="00892B36">
        <w:rPr>
          <w:rFonts w:ascii="Palatino Linotype" w:hAnsi="Palatino Linotype"/>
          <w:color w:val="000000" w:themeColor="text1"/>
          <w:sz w:val="18"/>
          <w:szCs w:val="18"/>
          <w:lang w:bidi="en-US"/>
        </w:rPr>
        <w:t>NetworkAnalyst</w:t>
      </w:r>
      <w:proofErr w:type="spellEnd"/>
      <w:r w:rsidRPr="00892B36">
        <w:rPr>
          <w:rFonts w:ascii="Palatino Linotype" w:hAnsi="Palatino Linotype"/>
          <w:color w:val="000000" w:themeColor="text1"/>
          <w:sz w:val="18"/>
          <w:szCs w:val="18"/>
          <w:lang w:bidi="en-US"/>
        </w:rPr>
        <w:t xml:space="preserve"> to construct a TF-gene network that elucidates the interactions between TFs and their corresponding target genes depicted in </w:t>
      </w:r>
      <w:r w:rsidRPr="002F5256">
        <w:rPr>
          <w:rFonts w:ascii="Palatino Linotype" w:hAnsi="Palatino Linotype"/>
          <w:color w:val="000000" w:themeColor="text1"/>
          <w:sz w:val="18"/>
          <w:szCs w:val="18"/>
          <w:highlight w:val="yellow"/>
          <w:lang w:bidi="en-US"/>
        </w:rPr>
        <w:t xml:space="preserve">Figure </w:t>
      </w:r>
      <w:r w:rsidR="008C2007" w:rsidRPr="002F5256">
        <w:rPr>
          <w:rFonts w:ascii="Palatino Linotype" w:hAnsi="Palatino Linotype"/>
          <w:color w:val="000000" w:themeColor="text1"/>
          <w:sz w:val="18"/>
          <w:szCs w:val="18"/>
          <w:highlight w:val="yellow"/>
          <w:lang w:bidi="en-US"/>
        </w:rPr>
        <w:t>8</w:t>
      </w:r>
      <w:r w:rsidRPr="00892B36">
        <w:rPr>
          <w:rFonts w:ascii="Palatino Linotype" w:hAnsi="Palatino Linotype"/>
          <w:color w:val="000000" w:themeColor="text1"/>
          <w:sz w:val="18"/>
          <w:szCs w:val="18"/>
          <w:lang w:bidi="en-US"/>
        </w:rPr>
        <w:t xml:space="preserve">. It's a valuable tool for understanding how cells respond to viruses like COVID-19, helping identify new therapeutic targets and mechanisms. Our analysis encompasses of GO and pathways along with PPI, hub proteins, and TF-gene networks, demonstrating how </w:t>
      </w:r>
      <w:proofErr w:type="spellStart"/>
      <w:r w:rsidRPr="00892B36">
        <w:rPr>
          <w:rFonts w:ascii="Palatino Linotype" w:hAnsi="Palatino Linotype"/>
          <w:color w:val="000000" w:themeColor="text1"/>
          <w:sz w:val="18"/>
          <w:szCs w:val="18"/>
          <w:lang w:bidi="en-US"/>
        </w:rPr>
        <w:t>DyGAF</w:t>
      </w:r>
      <w:proofErr w:type="spellEnd"/>
      <w:r w:rsidRPr="00892B36">
        <w:rPr>
          <w:rFonts w:ascii="Palatino Linotype" w:hAnsi="Palatino Linotype"/>
          <w:color w:val="000000" w:themeColor="text1"/>
          <w:sz w:val="18"/>
          <w:szCs w:val="18"/>
          <w:lang w:bidi="en-US"/>
        </w:rPr>
        <w:t xml:space="preserve"> more efficient in identifying biomarker genes and elucidating their biological relevance compared to other models.</w:t>
      </w:r>
    </w:p>
    <w:p w14:paraId="4BAD7A2B" w14:textId="05356AA2" w:rsidR="00BD130C" w:rsidRPr="00892B36" w:rsidRDefault="001D49B8" w:rsidP="001339F0">
      <w:pPr>
        <w:jc w:val="both"/>
        <w:rPr>
          <w:rFonts w:ascii="Palatino Linotype" w:hAnsi="Palatino Linotype"/>
          <w:b/>
          <w:bCs/>
          <w:i/>
          <w:iCs/>
          <w:color w:val="000000" w:themeColor="text1"/>
          <w:sz w:val="20"/>
          <w:szCs w:val="20"/>
        </w:rPr>
      </w:pPr>
      <w:r w:rsidRPr="00892B36">
        <w:rPr>
          <w:rFonts w:ascii="Palatino Linotype" w:hAnsi="Palatino Linotype"/>
          <w:b/>
          <w:bCs/>
          <w:i/>
          <w:iCs/>
          <w:color w:val="000000" w:themeColor="text1"/>
          <w:sz w:val="20"/>
          <w:szCs w:val="20"/>
        </w:rPr>
        <w:t>REFERENCES</w:t>
      </w:r>
    </w:p>
    <w:p w14:paraId="2BE4A432" w14:textId="77777777" w:rsidR="001D49B8" w:rsidRPr="00892B36" w:rsidRDefault="001D49B8" w:rsidP="001339F0">
      <w:pPr>
        <w:jc w:val="both"/>
        <w:rPr>
          <w:rFonts w:ascii="Palatino Linotype" w:hAnsi="Palatino Linotype"/>
          <w:b/>
          <w:bCs/>
          <w:i/>
          <w:iCs/>
          <w:color w:val="000000" w:themeColor="text1"/>
          <w:sz w:val="20"/>
          <w:szCs w:val="20"/>
        </w:rPr>
      </w:pPr>
    </w:p>
    <w:p w14:paraId="1073F646" w14:textId="77777777" w:rsidR="00EF47E9" w:rsidRPr="002F5256" w:rsidRDefault="00BD130C" w:rsidP="00EF47E9">
      <w:pPr>
        <w:pStyle w:val="EndNoteBibliography"/>
        <w:rPr>
          <w:rFonts w:asciiTheme="minorHAnsi" w:hAnsiTheme="minorHAnsi" w:cstheme="minorHAnsi"/>
          <w:noProof/>
          <w:sz w:val="20"/>
          <w:szCs w:val="20"/>
        </w:rPr>
      </w:pPr>
      <w:r w:rsidRPr="002F5256">
        <w:rPr>
          <w:rFonts w:asciiTheme="minorHAnsi" w:hAnsiTheme="minorHAnsi" w:cstheme="minorHAnsi"/>
          <w:color w:val="000000" w:themeColor="text1"/>
          <w:sz w:val="20"/>
          <w:szCs w:val="20"/>
        </w:rPr>
        <w:fldChar w:fldCharType="begin"/>
      </w:r>
      <w:r w:rsidRPr="002F5256">
        <w:rPr>
          <w:rFonts w:asciiTheme="minorHAnsi" w:hAnsiTheme="minorHAnsi" w:cstheme="minorHAnsi"/>
          <w:color w:val="000000" w:themeColor="text1"/>
          <w:sz w:val="20"/>
          <w:szCs w:val="20"/>
        </w:rPr>
        <w:instrText xml:space="preserve"> ADDIN EN.REFLIST </w:instrText>
      </w:r>
      <w:r w:rsidRPr="002F5256">
        <w:rPr>
          <w:rFonts w:asciiTheme="minorHAnsi" w:hAnsiTheme="minorHAnsi" w:cstheme="minorHAnsi"/>
          <w:color w:val="000000" w:themeColor="text1"/>
          <w:sz w:val="20"/>
          <w:szCs w:val="20"/>
        </w:rPr>
        <w:fldChar w:fldCharType="separate"/>
      </w:r>
      <w:r w:rsidR="00EF47E9" w:rsidRPr="002F5256">
        <w:rPr>
          <w:rFonts w:asciiTheme="minorHAnsi" w:hAnsiTheme="minorHAnsi" w:cstheme="minorHAnsi"/>
          <w:noProof/>
          <w:sz w:val="20"/>
          <w:szCs w:val="20"/>
        </w:rPr>
        <w:t>1.</w:t>
      </w:r>
      <w:r w:rsidR="00EF47E9" w:rsidRPr="002F5256">
        <w:rPr>
          <w:rFonts w:asciiTheme="minorHAnsi" w:hAnsiTheme="minorHAnsi" w:cstheme="minorHAnsi"/>
          <w:noProof/>
          <w:sz w:val="20"/>
          <w:szCs w:val="20"/>
        </w:rPr>
        <w:tab/>
        <w:t xml:space="preserve">Daamen AR, Bachali P, Grammer AC, Lipsky PE. Classification of COVID-19 patients into clinically relevant subsets by a novel machine learning pipeline using transcriptomic features. </w:t>
      </w:r>
      <w:r w:rsidR="00EF47E9" w:rsidRPr="002F5256">
        <w:rPr>
          <w:rFonts w:asciiTheme="minorHAnsi" w:hAnsiTheme="minorHAnsi" w:cstheme="minorHAnsi"/>
          <w:i/>
          <w:noProof/>
          <w:sz w:val="20"/>
          <w:szCs w:val="20"/>
        </w:rPr>
        <w:t>International journal of molecular sciences</w:t>
      </w:r>
      <w:r w:rsidR="00EF47E9" w:rsidRPr="002F5256">
        <w:rPr>
          <w:rFonts w:asciiTheme="minorHAnsi" w:hAnsiTheme="minorHAnsi" w:cstheme="minorHAnsi"/>
          <w:noProof/>
          <w:sz w:val="20"/>
          <w:szCs w:val="20"/>
        </w:rPr>
        <w:t xml:space="preserve">. 2023;24(5):4905. </w:t>
      </w:r>
    </w:p>
    <w:p w14:paraId="5648C7E6"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2.</w:t>
      </w:r>
      <w:r w:rsidRPr="002F5256">
        <w:rPr>
          <w:rFonts w:asciiTheme="minorHAnsi" w:hAnsiTheme="minorHAnsi" w:cstheme="minorHAnsi"/>
          <w:noProof/>
          <w:sz w:val="20"/>
          <w:szCs w:val="20"/>
        </w:rPr>
        <w:tab/>
        <w:t xml:space="preserve">Cicek IB, Kaya ÖÜMO, Colak C. Assessment of COVID-19-Related genes through associative classification techniques. </w:t>
      </w:r>
      <w:r w:rsidRPr="002F5256">
        <w:rPr>
          <w:rFonts w:asciiTheme="minorHAnsi" w:hAnsiTheme="minorHAnsi" w:cstheme="minorHAnsi"/>
          <w:i/>
          <w:noProof/>
          <w:sz w:val="20"/>
          <w:szCs w:val="20"/>
        </w:rPr>
        <w:t>Konuralp Medical Journal</w:t>
      </w:r>
      <w:r w:rsidRPr="002F5256">
        <w:rPr>
          <w:rFonts w:asciiTheme="minorHAnsi" w:hAnsiTheme="minorHAnsi" w:cstheme="minorHAnsi"/>
          <w:noProof/>
          <w:sz w:val="20"/>
          <w:szCs w:val="20"/>
        </w:rPr>
        <w:t xml:space="preserve">. 2022;14(1):1-8. </w:t>
      </w:r>
    </w:p>
    <w:p w14:paraId="38948067"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3.</w:t>
      </w:r>
      <w:r w:rsidRPr="002F5256">
        <w:rPr>
          <w:rFonts w:asciiTheme="minorHAnsi" w:hAnsiTheme="minorHAnsi" w:cstheme="minorHAnsi"/>
          <w:noProof/>
          <w:sz w:val="20"/>
          <w:szCs w:val="20"/>
        </w:rPr>
        <w:tab/>
        <w:t xml:space="preserve">Salman AO, Geman O. Evaluating three machine learning classification methods for effective COVID-19 diagnosis. </w:t>
      </w:r>
      <w:r w:rsidRPr="002F5256">
        <w:rPr>
          <w:rFonts w:asciiTheme="minorHAnsi" w:hAnsiTheme="minorHAnsi" w:cstheme="minorHAnsi"/>
          <w:i/>
          <w:noProof/>
          <w:sz w:val="20"/>
          <w:szCs w:val="20"/>
        </w:rPr>
        <w:t>International Journal of Mathematics, Statistics, and Computer Science</w:t>
      </w:r>
      <w:r w:rsidRPr="002F5256">
        <w:rPr>
          <w:rFonts w:asciiTheme="minorHAnsi" w:hAnsiTheme="minorHAnsi" w:cstheme="minorHAnsi"/>
          <w:noProof/>
          <w:sz w:val="20"/>
          <w:szCs w:val="20"/>
        </w:rPr>
        <w:t>. 2022;1</w:t>
      </w:r>
    </w:p>
    <w:p w14:paraId="5B8DFC9F"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4.</w:t>
      </w:r>
      <w:r w:rsidRPr="002F5256">
        <w:rPr>
          <w:rFonts w:asciiTheme="minorHAnsi" w:hAnsiTheme="minorHAnsi" w:cstheme="minorHAnsi"/>
          <w:noProof/>
          <w:sz w:val="20"/>
          <w:szCs w:val="20"/>
        </w:rPr>
        <w:tab/>
        <w:t xml:space="preserve">Houssein EH, Ahmad M, Hosney ME, Mazzara M. Classification approach for covid-19 gene based on harris hawks optimization. </w:t>
      </w:r>
      <w:r w:rsidRPr="002F5256">
        <w:rPr>
          <w:rFonts w:asciiTheme="minorHAnsi" w:hAnsiTheme="minorHAnsi" w:cstheme="minorHAnsi"/>
          <w:i/>
          <w:noProof/>
          <w:sz w:val="20"/>
          <w:szCs w:val="20"/>
        </w:rPr>
        <w:t>Artificial Intelligence for COVID-19</w:t>
      </w:r>
      <w:r w:rsidRPr="002F5256">
        <w:rPr>
          <w:rFonts w:asciiTheme="minorHAnsi" w:hAnsiTheme="minorHAnsi" w:cstheme="minorHAnsi"/>
          <w:noProof/>
          <w:sz w:val="20"/>
          <w:szCs w:val="20"/>
        </w:rPr>
        <w:t xml:space="preserve">. 2021:575-594. </w:t>
      </w:r>
    </w:p>
    <w:p w14:paraId="25605B74"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5.</w:t>
      </w:r>
      <w:r w:rsidRPr="002F5256">
        <w:rPr>
          <w:rFonts w:asciiTheme="minorHAnsi" w:hAnsiTheme="minorHAnsi" w:cstheme="minorHAnsi"/>
          <w:noProof/>
          <w:sz w:val="20"/>
          <w:szCs w:val="20"/>
        </w:rPr>
        <w:tab/>
        <w:t xml:space="preserve">Lalkhen AG, McCluskey A. Clinical tests: sensitivity and specificity. </w:t>
      </w:r>
      <w:r w:rsidRPr="002F5256">
        <w:rPr>
          <w:rFonts w:asciiTheme="minorHAnsi" w:hAnsiTheme="minorHAnsi" w:cstheme="minorHAnsi"/>
          <w:i/>
          <w:noProof/>
          <w:sz w:val="20"/>
          <w:szCs w:val="20"/>
        </w:rPr>
        <w:t>Continuing education in anaesthesia, critical care &amp; pain</w:t>
      </w:r>
      <w:r w:rsidRPr="002F5256">
        <w:rPr>
          <w:rFonts w:asciiTheme="minorHAnsi" w:hAnsiTheme="minorHAnsi" w:cstheme="minorHAnsi"/>
          <w:noProof/>
          <w:sz w:val="20"/>
          <w:szCs w:val="20"/>
        </w:rPr>
        <w:t xml:space="preserve">. 2008;8(6):221-223. </w:t>
      </w:r>
    </w:p>
    <w:p w14:paraId="76927564"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6.</w:t>
      </w:r>
      <w:r w:rsidRPr="002F5256">
        <w:rPr>
          <w:rFonts w:asciiTheme="minorHAnsi" w:hAnsiTheme="minorHAnsi" w:cstheme="minorHAnsi"/>
          <w:noProof/>
          <w:sz w:val="20"/>
          <w:szCs w:val="20"/>
        </w:rPr>
        <w:tab/>
        <w:t>West R, Kobokovich A. Factsheet: Understanding the Accuracy of Diagnostic and Serology Tests: Sensitivity and Specificity. 2021;</w:t>
      </w:r>
    </w:p>
    <w:p w14:paraId="1D9758D0"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7.</w:t>
      </w:r>
      <w:r w:rsidRPr="002F5256">
        <w:rPr>
          <w:rFonts w:asciiTheme="minorHAnsi" w:hAnsiTheme="minorHAnsi" w:cstheme="minorHAnsi"/>
          <w:noProof/>
          <w:sz w:val="20"/>
          <w:szCs w:val="20"/>
        </w:rPr>
        <w:tab/>
        <w:t xml:space="preserve">Farahani M, Niknam Z, Amirabad LM, et al. Molecular pathways involved in COVID-19 and potential pathway-based therapeutic targets. </w:t>
      </w:r>
      <w:r w:rsidRPr="002F5256">
        <w:rPr>
          <w:rFonts w:asciiTheme="minorHAnsi" w:hAnsiTheme="minorHAnsi" w:cstheme="minorHAnsi"/>
          <w:i/>
          <w:noProof/>
          <w:sz w:val="20"/>
          <w:szCs w:val="20"/>
        </w:rPr>
        <w:t>Biomedicine &amp; Pharmacotherapy</w:t>
      </w:r>
      <w:r w:rsidRPr="002F5256">
        <w:rPr>
          <w:rFonts w:asciiTheme="minorHAnsi" w:hAnsiTheme="minorHAnsi" w:cstheme="minorHAnsi"/>
          <w:noProof/>
          <w:sz w:val="20"/>
          <w:szCs w:val="20"/>
        </w:rPr>
        <w:t xml:space="preserve">. 2022;145:112420. </w:t>
      </w:r>
    </w:p>
    <w:p w14:paraId="2F4FA07B"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8.</w:t>
      </w:r>
      <w:r w:rsidRPr="002F5256">
        <w:rPr>
          <w:rFonts w:asciiTheme="minorHAnsi" w:hAnsiTheme="minorHAnsi" w:cstheme="minorHAnsi"/>
          <w:noProof/>
          <w:sz w:val="20"/>
          <w:szCs w:val="20"/>
        </w:rPr>
        <w:tab/>
        <w:t xml:space="preserve">Paludan SR, Mogensen TH. Innate immunological pathways in COVID-19 pathogenesis. </w:t>
      </w:r>
      <w:r w:rsidRPr="002F5256">
        <w:rPr>
          <w:rFonts w:asciiTheme="minorHAnsi" w:hAnsiTheme="minorHAnsi" w:cstheme="minorHAnsi"/>
          <w:i/>
          <w:noProof/>
          <w:sz w:val="20"/>
          <w:szCs w:val="20"/>
        </w:rPr>
        <w:t>Science immunology</w:t>
      </w:r>
      <w:r w:rsidRPr="002F5256">
        <w:rPr>
          <w:rFonts w:asciiTheme="minorHAnsi" w:hAnsiTheme="minorHAnsi" w:cstheme="minorHAnsi"/>
          <w:noProof/>
          <w:sz w:val="20"/>
          <w:szCs w:val="20"/>
        </w:rPr>
        <w:t xml:space="preserve">. 2022;7(67):eabm5505. </w:t>
      </w:r>
    </w:p>
    <w:p w14:paraId="0604ECC7"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9.</w:t>
      </w:r>
      <w:r w:rsidRPr="002F5256">
        <w:rPr>
          <w:rFonts w:asciiTheme="minorHAnsi" w:hAnsiTheme="minorHAnsi" w:cstheme="minorHAnsi"/>
          <w:noProof/>
          <w:sz w:val="20"/>
          <w:szCs w:val="20"/>
        </w:rPr>
        <w:tab/>
        <w:t>Villamayor Coronado L, Rivero V, López-García D, et al. Interferon alpha inducible protein 6 is a negative regulator of innate immune responses by modulating RIG-I activation. 2023;</w:t>
      </w:r>
    </w:p>
    <w:p w14:paraId="36BC5389"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10.</w:t>
      </w:r>
      <w:r w:rsidRPr="002F5256">
        <w:rPr>
          <w:rFonts w:asciiTheme="minorHAnsi" w:hAnsiTheme="minorHAnsi" w:cstheme="minorHAnsi"/>
          <w:noProof/>
          <w:sz w:val="20"/>
          <w:szCs w:val="20"/>
        </w:rPr>
        <w:tab/>
        <w:t xml:space="preserve">Muus C, Luecken MD, Eraslan G, et al. Single-cell meta-analysis of SARS-CoV-2 entry genes across tissues and demographics. </w:t>
      </w:r>
      <w:r w:rsidRPr="002F5256">
        <w:rPr>
          <w:rFonts w:asciiTheme="minorHAnsi" w:hAnsiTheme="minorHAnsi" w:cstheme="minorHAnsi"/>
          <w:i/>
          <w:noProof/>
          <w:sz w:val="20"/>
          <w:szCs w:val="20"/>
        </w:rPr>
        <w:t>Nature medicine</w:t>
      </w:r>
      <w:r w:rsidRPr="002F5256">
        <w:rPr>
          <w:rFonts w:asciiTheme="minorHAnsi" w:hAnsiTheme="minorHAnsi" w:cstheme="minorHAnsi"/>
          <w:noProof/>
          <w:sz w:val="20"/>
          <w:szCs w:val="20"/>
        </w:rPr>
        <w:t xml:space="preserve">. 2021;27(3):546-559. </w:t>
      </w:r>
    </w:p>
    <w:p w14:paraId="50D0AC62"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11.</w:t>
      </w:r>
      <w:r w:rsidRPr="002F5256">
        <w:rPr>
          <w:rFonts w:asciiTheme="minorHAnsi" w:hAnsiTheme="minorHAnsi" w:cstheme="minorHAnsi"/>
          <w:noProof/>
          <w:sz w:val="20"/>
          <w:szCs w:val="20"/>
        </w:rPr>
        <w:tab/>
        <w:t xml:space="preserve">Hadjadj J, Yatim N, Barnabei L, et al. Impaired type I interferon activity and inflammatory responses in severe COVID-19 patients. </w:t>
      </w:r>
      <w:r w:rsidRPr="002F5256">
        <w:rPr>
          <w:rFonts w:asciiTheme="minorHAnsi" w:hAnsiTheme="minorHAnsi" w:cstheme="minorHAnsi"/>
          <w:i/>
          <w:noProof/>
          <w:sz w:val="20"/>
          <w:szCs w:val="20"/>
        </w:rPr>
        <w:t>Science</w:t>
      </w:r>
      <w:r w:rsidRPr="002F5256">
        <w:rPr>
          <w:rFonts w:asciiTheme="minorHAnsi" w:hAnsiTheme="minorHAnsi" w:cstheme="minorHAnsi"/>
          <w:noProof/>
          <w:sz w:val="20"/>
          <w:szCs w:val="20"/>
        </w:rPr>
        <w:t xml:space="preserve">. 2020;369(6504):718-724. </w:t>
      </w:r>
    </w:p>
    <w:p w14:paraId="313486A8"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12.</w:t>
      </w:r>
      <w:r w:rsidRPr="002F5256">
        <w:rPr>
          <w:rFonts w:asciiTheme="minorHAnsi" w:hAnsiTheme="minorHAnsi" w:cstheme="minorHAnsi"/>
          <w:noProof/>
          <w:sz w:val="20"/>
          <w:szCs w:val="20"/>
        </w:rPr>
        <w:tab/>
        <w:t xml:space="preserve">Albright J, Mick E, Sanchez-Guerrero E, et al. A 2-gene host signature for improved accuracy of COVID-19 diagnosis agnostic to viral variants. </w:t>
      </w:r>
      <w:r w:rsidRPr="002F5256">
        <w:rPr>
          <w:rFonts w:asciiTheme="minorHAnsi" w:hAnsiTheme="minorHAnsi" w:cstheme="minorHAnsi"/>
          <w:i/>
          <w:noProof/>
          <w:sz w:val="20"/>
          <w:szCs w:val="20"/>
        </w:rPr>
        <w:t>Msystems</w:t>
      </w:r>
      <w:r w:rsidRPr="002F5256">
        <w:rPr>
          <w:rFonts w:asciiTheme="minorHAnsi" w:hAnsiTheme="minorHAnsi" w:cstheme="minorHAnsi"/>
          <w:noProof/>
          <w:sz w:val="20"/>
          <w:szCs w:val="20"/>
        </w:rPr>
        <w:t xml:space="preserve">. 2023;8(1):e00671-22. </w:t>
      </w:r>
    </w:p>
    <w:p w14:paraId="7EDA0E85"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13.</w:t>
      </w:r>
      <w:r w:rsidRPr="002F5256">
        <w:rPr>
          <w:rFonts w:asciiTheme="minorHAnsi" w:hAnsiTheme="minorHAnsi" w:cstheme="minorHAnsi"/>
          <w:noProof/>
          <w:sz w:val="20"/>
          <w:szCs w:val="20"/>
        </w:rPr>
        <w:tab/>
        <w:t xml:space="preserve">Zhang L, Jiang Y, He J, et al. Intranasal influenza-vectored COVID-19 vaccine restrains the SARS-CoV-2 inflammatory response in hamsters. </w:t>
      </w:r>
      <w:r w:rsidRPr="002F5256">
        <w:rPr>
          <w:rFonts w:asciiTheme="minorHAnsi" w:hAnsiTheme="minorHAnsi" w:cstheme="minorHAnsi"/>
          <w:i/>
          <w:noProof/>
          <w:sz w:val="20"/>
          <w:szCs w:val="20"/>
        </w:rPr>
        <w:t>Nature Communications</w:t>
      </w:r>
      <w:r w:rsidRPr="002F5256">
        <w:rPr>
          <w:rFonts w:asciiTheme="minorHAnsi" w:hAnsiTheme="minorHAnsi" w:cstheme="minorHAnsi"/>
          <w:noProof/>
          <w:sz w:val="20"/>
          <w:szCs w:val="20"/>
        </w:rPr>
        <w:t xml:space="preserve">. 2023;14(1):4117. </w:t>
      </w:r>
    </w:p>
    <w:p w14:paraId="39576D04"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14.</w:t>
      </w:r>
      <w:r w:rsidRPr="002F5256">
        <w:rPr>
          <w:rFonts w:asciiTheme="minorHAnsi" w:hAnsiTheme="minorHAnsi" w:cstheme="minorHAnsi"/>
          <w:noProof/>
          <w:sz w:val="20"/>
          <w:szCs w:val="20"/>
        </w:rPr>
        <w:tab/>
        <w:t xml:space="preserve">Minkoff JM, tenOever B. Innate immune evasion strategies of SARS-CoV-2. </w:t>
      </w:r>
      <w:r w:rsidRPr="002F5256">
        <w:rPr>
          <w:rFonts w:asciiTheme="minorHAnsi" w:hAnsiTheme="minorHAnsi" w:cstheme="minorHAnsi"/>
          <w:i/>
          <w:noProof/>
          <w:sz w:val="20"/>
          <w:szCs w:val="20"/>
        </w:rPr>
        <w:t>Nature Reviews Microbiology</w:t>
      </w:r>
      <w:r w:rsidRPr="002F5256">
        <w:rPr>
          <w:rFonts w:asciiTheme="minorHAnsi" w:hAnsiTheme="minorHAnsi" w:cstheme="minorHAnsi"/>
          <w:noProof/>
          <w:sz w:val="20"/>
          <w:szCs w:val="20"/>
        </w:rPr>
        <w:t xml:space="preserve">. 2023;21(3):178-194. </w:t>
      </w:r>
    </w:p>
    <w:p w14:paraId="7D7A3CA9"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15.</w:t>
      </w:r>
      <w:r w:rsidRPr="002F5256">
        <w:rPr>
          <w:rFonts w:asciiTheme="minorHAnsi" w:hAnsiTheme="minorHAnsi" w:cstheme="minorHAnsi"/>
          <w:noProof/>
          <w:sz w:val="20"/>
          <w:szCs w:val="20"/>
        </w:rPr>
        <w:tab/>
        <w:t xml:space="preserve">Manfrini N, Notarbartolo S, Grifantini R, Pesce E. SARS-CoV-2: A Glance at the Innate Immune Response Elicited by Infection and Vaccination. </w:t>
      </w:r>
      <w:r w:rsidRPr="002F5256">
        <w:rPr>
          <w:rFonts w:asciiTheme="minorHAnsi" w:hAnsiTheme="minorHAnsi" w:cstheme="minorHAnsi"/>
          <w:i/>
          <w:noProof/>
          <w:sz w:val="20"/>
          <w:szCs w:val="20"/>
        </w:rPr>
        <w:t>Antibodies</w:t>
      </w:r>
      <w:r w:rsidRPr="002F5256">
        <w:rPr>
          <w:rFonts w:asciiTheme="minorHAnsi" w:hAnsiTheme="minorHAnsi" w:cstheme="minorHAnsi"/>
          <w:noProof/>
          <w:sz w:val="20"/>
          <w:szCs w:val="20"/>
        </w:rPr>
        <w:t xml:space="preserve">. 2024;13(1):13. </w:t>
      </w:r>
    </w:p>
    <w:p w14:paraId="2F020D3C"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16.</w:t>
      </w:r>
      <w:r w:rsidRPr="002F5256">
        <w:rPr>
          <w:rFonts w:asciiTheme="minorHAnsi" w:hAnsiTheme="minorHAnsi" w:cstheme="minorHAnsi"/>
          <w:noProof/>
          <w:sz w:val="20"/>
          <w:szCs w:val="20"/>
        </w:rPr>
        <w:tab/>
        <w:t xml:space="preserve">Shen Y-L, Hsieh Y-A, Hu P-W, et al. Angiotensin-(1–7) attenuates SARS-CoV2 spike protein-induced interleukin-6 and interleukin-8 production in alveolar epithelial cells through activation of Mas receptor. </w:t>
      </w:r>
      <w:r w:rsidRPr="002F5256">
        <w:rPr>
          <w:rFonts w:asciiTheme="minorHAnsi" w:hAnsiTheme="minorHAnsi" w:cstheme="minorHAnsi"/>
          <w:i/>
          <w:noProof/>
          <w:sz w:val="20"/>
          <w:szCs w:val="20"/>
        </w:rPr>
        <w:t>Journal of Microbiology, Immunology and Infection</w:t>
      </w:r>
      <w:r w:rsidRPr="002F5256">
        <w:rPr>
          <w:rFonts w:asciiTheme="minorHAnsi" w:hAnsiTheme="minorHAnsi" w:cstheme="minorHAnsi"/>
          <w:noProof/>
          <w:sz w:val="20"/>
          <w:szCs w:val="20"/>
        </w:rPr>
        <w:t xml:space="preserve">. 2023;56(6):1147-1157. </w:t>
      </w:r>
    </w:p>
    <w:p w14:paraId="4B5C7B1E"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17.</w:t>
      </w:r>
      <w:r w:rsidRPr="002F5256">
        <w:rPr>
          <w:rFonts w:asciiTheme="minorHAnsi" w:hAnsiTheme="minorHAnsi" w:cstheme="minorHAnsi"/>
          <w:noProof/>
          <w:sz w:val="20"/>
          <w:szCs w:val="20"/>
        </w:rPr>
        <w:tab/>
        <w:t xml:space="preserve">Ciotti M, Ciccozzi M, Terrinoni A, Jiang W-C, Wang C-B, Bernardini S. The COVID-19 pandemic. </w:t>
      </w:r>
      <w:r w:rsidRPr="002F5256">
        <w:rPr>
          <w:rFonts w:asciiTheme="minorHAnsi" w:hAnsiTheme="minorHAnsi" w:cstheme="minorHAnsi"/>
          <w:i/>
          <w:noProof/>
          <w:sz w:val="20"/>
          <w:szCs w:val="20"/>
        </w:rPr>
        <w:t>Critical reviews in clinical laboratory sciences</w:t>
      </w:r>
      <w:r w:rsidRPr="002F5256">
        <w:rPr>
          <w:rFonts w:asciiTheme="minorHAnsi" w:hAnsiTheme="minorHAnsi" w:cstheme="minorHAnsi"/>
          <w:noProof/>
          <w:sz w:val="20"/>
          <w:szCs w:val="20"/>
        </w:rPr>
        <w:t xml:space="preserve">. 2020;57(6):365-388. </w:t>
      </w:r>
    </w:p>
    <w:p w14:paraId="165E4094"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18.</w:t>
      </w:r>
      <w:r w:rsidRPr="002F5256">
        <w:rPr>
          <w:rFonts w:asciiTheme="minorHAnsi" w:hAnsiTheme="minorHAnsi" w:cstheme="minorHAnsi"/>
          <w:noProof/>
          <w:sz w:val="20"/>
          <w:szCs w:val="20"/>
        </w:rPr>
        <w:tab/>
        <w:t xml:space="preserve">Vanderbeke L, Van Mol P, Van Herck Y, et al. Monocyte-driven atypical cytokine storm and aberrant neutrophil activation as key mediators of COVID-19 disease severity. </w:t>
      </w:r>
      <w:r w:rsidRPr="002F5256">
        <w:rPr>
          <w:rFonts w:asciiTheme="minorHAnsi" w:hAnsiTheme="minorHAnsi" w:cstheme="minorHAnsi"/>
          <w:i/>
          <w:noProof/>
          <w:sz w:val="20"/>
          <w:szCs w:val="20"/>
        </w:rPr>
        <w:t>Nature communications</w:t>
      </w:r>
      <w:r w:rsidRPr="002F5256">
        <w:rPr>
          <w:rFonts w:asciiTheme="minorHAnsi" w:hAnsiTheme="minorHAnsi" w:cstheme="minorHAnsi"/>
          <w:noProof/>
          <w:sz w:val="20"/>
          <w:szCs w:val="20"/>
        </w:rPr>
        <w:t xml:space="preserve">. 2021;12(1):4117. </w:t>
      </w:r>
    </w:p>
    <w:p w14:paraId="46175413"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19.</w:t>
      </w:r>
      <w:r w:rsidRPr="002F5256">
        <w:rPr>
          <w:rFonts w:asciiTheme="minorHAnsi" w:hAnsiTheme="minorHAnsi" w:cstheme="minorHAnsi"/>
          <w:noProof/>
          <w:sz w:val="20"/>
          <w:szCs w:val="20"/>
        </w:rPr>
        <w:tab/>
        <w:t xml:space="preserve">Jin Z, Zheng E, Sareli C, Kolattukudy PE, Niu J. Monocyte chemotactic protein-induced protein 1 (MCPIP-1): a key player of host defense and immune regulation. </w:t>
      </w:r>
      <w:r w:rsidRPr="002F5256">
        <w:rPr>
          <w:rFonts w:asciiTheme="minorHAnsi" w:hAnsiTheme="minorHAnsi" w:cstheme="minorHAnsi"/>
          <w:i/>
          <w:noProof/>
          <w:sz w:val="20"/>
          <w:szCs w:val="20"/>
        </w:rPr>
        <w:t>Frontiers in Immunology</w:t>
      </w:r>
      <w:r w:rsidRPr="002F5256">
        <w:rPr>
          <w:rFonts w:asciiTheme="minorHAnsi" w:hAnsiTheme="minorHAnsi" w:cstheme="minorHAnsi"/>
          <w:noProof/>
          <w:sz w:val="20"/>
          <w:szCs w:val="20"/>
        </w:rPr>
        <w:t xml:space="preserve">. 2021;12:727861. </w:t>
      </w:r>
    </w:p>
    <w:p w14:paraId="3EEA6E98"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lastRenderedPageBreak/>
        <w:t>20.</w:t>
      </w:r>
      <w:r w:rsidRPr="002F5256">
        <w:rPr>
          <w:rFonts w:asciiTheme="minorHAnsi" w:hAnsiTheme="minorHAnsi" w:cstheme="minorHAnsi"/>
          <w:noProof/>
          <w:sz w:val="20"/>
          <w:szCs w:val="20"/>
        </w:rPr>
        <w:tab/>
        <w:t xml:space="preserve">Kasuga Y, Zhu B, Jang K-J, Yoo J-S. Innate immune sensing of coronavirus and viral evasion strategies. </w:t>
      </w:r>
      <w:r w:rsidRPr="002F5256">
        <w:rPr>
          <w:rFonts w:asciiTheme="minorHAnsi" w:hAnsiTheme="minorHAnsi" w:cstheme="minorHAnsi"/>
          <w:i/>
          <w:noProof/>
          <w:sz w:val="20"/>
          <w:szCs w:val="20"/>
        </w:rPr>
        <w:t>Experimental &amp; molecular medicine</w:t>
      </w:r>
      <w:r w:rsidRPr="002F5256">
        <w:rPr>
          <w:rFonts w:asciiTheme="minorHAnsi" w:hAnsiTheme="minorHAnsi" w:cstheme="minorHAnsi"/>
          <w:noProof/>
          <w:sz w:val="20"/>
          <w:szCs w:val="20"/>
        </w:rPr>
        <w:t xml:space="preserve">. 2021;53(5):723-736. </w:t>
      </w:r>
    </w:p>
    <w:p w14:paraId="48EE317F"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21.</w:t>
      </w:r>
      <w:r w:rsidRPr="002F5256">
        <w:rPr>
          <w:rFonts w:asciiTheme="minorHAnsi" w:hAnsiTheme="minorHAnsi" w:cstheme="minorHAnsi"/>
          <w:noProof/>
          <w:sz w:val="20"/>
          <w:szCs w:val="20"/>
        </w:rPr>
        <w:tab/>
        <w:t xml:space="preserve">Chen J, Hall S, Vitetta L. Altered gut microbial metabolites could mediate the effects of risk factors in Covid‐19. </w:t>
      </w:r>
      <w:r w:rsidRPr="002F5256">
        <w:rPr>
          <w:rFonts w:asciiTheme="minorHAnsi" w:hAnsiTheme="minorHAnsi" w:cstheme="minorHAnsi"/>
          <w:i/>
          <w:noProof/>
          <w:sz w:val="20"/>
          <w:szCs w:val="20"/>
        </w:rPr>
        <w:t>Reviews in Medical Virology</w:t>
      </w:r>
      <w:r w:rsidRPr="002F5256">
        <w:rPr>
          <w:rFonts w:asciiTheme="minorHAnsi" w:hAnsiTheme="minorHAnsi" w:cstheme="minorHAnsi"/>
          <w:noProof/>
          <w:sz w:val="20"/>
          <w:szCs w:val="20"/>
        </w:rPr>
        <w:t xml:space="preserve">. 2021;31(5):1-13. </w:t>
      </w:r>
    </w:p>
    <w:p w14:paraId="5FD48961"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22.</w:t>
      </w:r>
      <w:r w:rsidRPr="002F5256">
        <w:rPr>
          <w:rFonts w:asciiTheme="minorHAnsi" w:hAnsiTheme="minorHAnsi" w:cstheme="minorHAnsi"/>
          <w:noProof/>
          <w:sz w:val="20"/>
          <w:szCs w:val="20"/>
        </w:rPr>
        <w:tab/>
        <w:t xml:space="preserve">Galati D, Zanotta S, Capitelli L, Bocchino M. A bird's eye view on the role of dendritic cells in SARS‐CoV‐2 infection: Perspectives for immune‐based vaccines. </w:t>
      </w:r>
      <w:r w:rsidRPr="002F5256">
        <w:rPr>
          <w:rFonts w:asciiTheme="minorHAnsi" w:hAnsiTheme="minorHAnsi" w:cstheme="minorHAnsi"/>
          <w:i/>
          <w:noProof/>
          <w:sz w:val="20"/>
          <w:szCs w:val="20"/>
        </w:rPr>
        <w:t>Allergy</w:t>
      </w:r>
      <w:r w:rsidRPr="002F5256">
        <w:rPr>
          <w:rFonts w:asciiTheme="minorHAnsi" w:hAnsiTheme="minorHAnsi" w:cstheme="minorHAnsi"/>
          <w:noProof/>
          <w:sz w:val="20"/>
          <w:szCs w:val="20"/>
        </w:rPr>
        <w:t xml:space="preserve">. 2022;77(1):100-110. </w:t>
      </w:r>
    </w:p>
    <w:p w14:paraId="63E94C23"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23.</w:t>
      </w:r>
      <w:r w:rsidRPr="002F5256">
        <w:rPr>
          <w:rFonts w:asciiTheme="minorHAnsi" w:hAnsiTheme="minorHAnsi" w:cstheme="minorHAnsi"/>
          <w:noProof/>
          <w:sz w:val="20"/>
          <w:szCs w:val="20"/>
        </w:rPr>
        <w:tab/>
        <w:t xml:space="preserve">Hong W, Yang J, Zou J, et al. Histones released by NETosis enhance the infectivity of SARS-CoV-2 by bridging the spike protein subunit 2 and sialic acid on host cells. </w:t>
      </w:r>
      <w:r w:rsidRPr="002F5256">
        <w:rPr>
          <w:rFonts w:asciiTheme="minorHAnsi" w:hAnsiTheme="minorHAnsi" w:cstheme="minorHAnsi"/>
          <w:i/>
          <w:noProof/>
          <w:sz w:val="20"/>
          <w:szCs w:val="20"/>
        </w:rPr>
        <w:t>Cellular &amp; Molecular Immunology</w:t>
      </w:r>
      <w:r w:rsidRPr="002F5256">
        <w:rPr>
          <w:rFonts w:asciiTheme="minorHAnsi" w:hAnsiTheme="minorHAnsi" w:cstheme="minorHAnsi"/>
          <w:noProof/>
          <w:sz w:val="20"/>
          <w:szCs w:val="20"/>
        </w:rPr>
        <w:t xml:space="preserve">. 2022;19(5):577-587. </w:t>
      </w:r>
    </w:p>
    <w:p w14:paraId="0425D668"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24.</w:t>
      </w:r>
      <w:r w:rsidRPr="002F5256">
        <w:rPr>
          <w:rFonts w:asciiTheme="minorHAnsi" w:hAnsiTheme="minorHAnsi" w:cstheme="minorHAnsi"/>
          <w:noProof/>
          <w:sz w:val="20"/>
          <w:szCs w:val="20"/>
        </w:rPr>
        <w:tab/>
        <w:t xml:space="preserve">Wei J, Alfajaro MM, DeWeirdt PC, et al. Genome-wide CRISPR screens reveal host factors critical for SARS-CoV-2 infection. </w:t>
      </w:r>
      <w:r w:rsidRPr="002F5256">
        <w:rPr>
          <w:rFonts w:asciiTheme="minorHAnsi" w:hAnsiTheme="minorHAnsi" w:cstheme="minorHAnsi"/>
          <w:i/>
          <w:noProof/>
          <w:sz w:val="20"/>
          <w:szCs w:val="20"/>
        </w:rPr>
        <w:t>Cell</w:t>
      </w:r>
      <w:r w:rsidRPr="002F5256">
        <w:rPr>
          <w:rFonts w:asciiTheme="minorHAnsi" w:hAnsiTheme="minorHAnsi" w:cstheme="minorHAnsi"/>
          <w:noProof/>
          <w:sz w:val="20"/>
          <w:szCs w:val="20"/>
        </w:rPr>
        <w:t xml:space="preserve">. 2021;184(1):76-91. e13. </w:t>
      </w:r>
    </w:p>
    <w:p w14:paraId="04D36F30"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25.</w:t>
      </w:r>
      <w:r w:rsidRPr="002F5256">
        <w:rPr>
          <w:rFonts w:asciiTheme="minorHAnsi" w:hAnsiTheme="minorHAnsi" w:cstheme="minorHAnsi"/>
          <w:noProof/>
          <w:sz w:val="20"/>
          <w:szCs w:val="20"/>
        </w:rPr>
        <w:tab/>
        <w:t xml:space="preserve">Banday AR, Stanifer ML, Florez-Vargas O, et al. Genetic regulation of OAS1 nonsense-mediated decay underlies association with COVID-19 hospitalization in patients of European and African ancestries. </w:t>
      </w:r>
      <w:r w:rsidRPr="002F5256">
        <w:rPr>
          <w:rFonts w:asciiTheme="minorHAnsi" w:hAnsiTheme="minorHAnsi" w:cstheme="minorHAnsi"/>
          <w:i/>
          <w:noProof/>
          <w:sz w:val="20"/>
          <w:szCs w:val="20"/>
        </w:rPr>
        <w:t>Nature genetics</w:t>
      </w:r>
      <w:r w:rsidRPr="002F5256">
        <w:rPr>
          <w:rFonts w:asciiTheme="minorHAnsi" w:hAnsiTheme="minorHAnsi" w:cstheme="minorHAnsi"/>
          <w:noProof/>
          <w:sz w:val="20"/>
          <w:szCs w:val="20"/>
        </w:rPr>
        <w:t xml:space="preserve">. 2022;54(8):1103-1116. </w:t>
      </w:r>
    </w:p>
    <w:p w14:paraId="51179BFA"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26.</w:t>
      </w:r>
      <w:r w:rsidRPr="002F5256">
        <w:rPr>
          <w:rFonts w:asciiTheme="minorHAnsi" w:hAnsiTheme="minorHAnsi" w:cstheme="minorHAnsi"/>
          <w:noProof/>
          <w:sz w:val="20"/>
          <w:szCs w:val="20"/>
        </w:rPr>
        <w:tab/>
        <w:t xml:space="preserve">Castaneda DC, Jangra S, Yurieva M, et al. Spatiotemporally organized immunomodulatory response to SARS-CoV-2 virus in primary human broncho-alveolar epithelia. </w:t>
      </w:r>
      <w:r w:rsidRPr="002F5256">
        <w:rPr>
          <w:rFonts w:asciiTheme="minorHAnsi" w:hAnsiTheme="minorHAnsi" w:cstheme="minorHAnsi"/>
          <w:i/>
          <w:noProof/>
          <w:sz w:val="20"/>
          <w:szCs w:val="20"/>
        </w:rPr>
        <w:t>Iscience</w:t>
      </w:r>
      <w:r w:rsidRPr="002F5256">
        <w:rPr>
          <w:rFonts w:asciiTheme="minorHAnsi" w:hAnsiTheme="minorHAnsi" w:cstheme="minorHAnsi"/>
          <w:noProof/>
          <w:sz w:val="20"/>
          <w:szCs w:val="20"/>
        </w:rPr>
        <w:t>. 2023;26(8)</w:t>
      </w:r>
    </w:p>
    <w:p w14:paraId="5CEB9067"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27.</w:t>
      </w:r>
      <w:r w:rsidRPr="002F5256">
        <w:rPr>
          <w:rFonts w:asciiTheme="minorHAnsi" w:hAnsiTheme="minorHAnsi" w:cstheme="minorHAnsi"/>
          <w:noProof/>
          <w:sz w:val="20"/>
          <w:szCs w:val="20"/>
        </w:rPr>
        <w:tab/>
        <w:t xml:space="preserve">Vanderboom PM, Mun D-G, Madugundu AK, et al. Proteomic signature of host response to SARS-CoV-2 infection in the nasopharynx. </w:t>
      </w:r>
      <w:r w:rsidRPr="002F5256">
        <w:rPr>
          <w:rFonts w:asciiTheme="minorHAnsi" w:hAnsiTheme="minorHAnsi" w:cstheme="minorHAnsi"/>
          <w:i/>
          <w:noProof/>
          <w:sz w:val="20"/>
          <w:szCs w:val="20"/>
        </w:rPr>
        <w:t>Molecular &amp; Cellular Proteomics</w:t>
      </w:r>
      <w:r w:rsidRPr="002F5256">
        <w:rPr>
          <w:rFonts w:asciiTheme="minorHAnsi" w:hAnsiTheme="minorHAnsi" w:cstheme="minorHAnsi"/>
          <w:noProof/>
          <w:sz w:val="20"/>
          <w:szCs w:val="20"/>
        </w:rPr>
        <w:t>. 2021;20</w:t>
      </w:r>
    </w:p>
    <w:p w14:paraId="74215CCB" w14:textId="77777777" w:rsidR="00EF47E9" w:rsidRPr="002F5256" w:rsidRDefault="00EF47E9" w:rsidP="00EF47E9">
      <w:pPr>
        <w:pStyle w:val="EndNoteBibliography"/>
        <w:rPr>
          <w:rFonts w:asciiTheme="minorHAnsi" w:hAnsiTheme="minorHAnsi" w:cstheme="minorHAnsi"/>
          <w:noProof/>
          <w:sz w:val="20"/>
          <w:szCs w:val="20"/>
        </w:rPr>
      </w:pPr>
      <w:r w:rsidRPr="002F5256">
        <w:rPr>
          <w:rFonts w:asciiTheme="minorHAnsi" w:hAnsiTheme="minorHAnsi" w:cstheme="minorHAnsi"/>
          <w:noProof/>
          <w:sz w:val="20"/>
          <w:szCs w:val="20"/>
        </w:rPr>
        <w:t>28.</w:t>
      </w:r>
      <w:r w:rsidRPr="002F5256">
        <w:rPr>
          <w:rFonts w:asciiTheme="minorHAnsi" w:hAnsiTheme="minorHAnsi" w:cstheme="minorHAnsi"/>
          <w:noProof/>
          <w:sz w:val="20"/>
          <w:szCs w:val="20"/>
        </w:rPr>
        <w:tab/>
        <w:t xml:space="preserve">Perreau M, Suffiotti M, Marques-Vidal P, et al. The cytokines HGF and CXCL13 predict the severity and the mortality in COVID-19 patients. </w:t>
      </w:r>
      <w:r w:rsidRPr="002F5256">
        <w:rPr>
          <w:rFonts w:asciiTheme="minorHAnsi" w:hAnsiTheme="minorHAnsi" w:cstheme="minorHAnsi"/>
          <w:i/>
          <w:noProof/>
          <w:sz w:val="20"/>
          <w:szCs w:val="20"/>
        </w:rPr>
        <w:t>Nature Communications</w:t>
      </w:r>
      <w:r w:rsidRPr="002F5256">
        <w:rPr>
          <w:rFonts w:asciiTheme="minorHAnsi" w:hAnsiTheme="minorHAnsi" w:cstheme="minorHAnsi"/>
          <w:noProof/>
          <w:sz w:val="20"/>
          <w:szCs w:val="20"/>
        </w:rPr>
        <w:t xml:space="preserve">. 2021;12(1):4888. </w:t>
      </w:r>
    </w:p>
    <w:p w14:paraId="0D883FA4" w14:textId="783A6AD5" w:rsidR="005B0BBB" w:rsidRPr="00892B36" w:rsidRDefault="00BD130C" w:rsidP="001D49B8">
      <w:pPr>
        <w:jc w:val="both"/>
        <w:rPr>
          <w:rFonts w:ascii="Palatino Linotype" w:hAnsi="Palatino Linotype"/>
          <w:color w:val="000000" w:themeColor="text1"/>
          <w:sz w:val="18"/>
          <w:szCs w:val="18"/>
        </w:rPr>
      </w:pPr>
      <w:r w:rsidRPr="002F5256">
        <w:rPr>
          <w:rFonts w:cstheme="minorHAnsi"/>
          <w:color w:val="000000" w:themeColor="text1"/>
          <w:sz w:val="20"/>
          <w:szCs w:val="20"/>
        </w:rPr>
        <w:fldChar w:fldCharType="end"/>
      </w:r>
    </w:p>
    <w:sectPr w:rsidR="005B0BBB" w:rsidRPr="00892B36" w:rsidSect="009D2A3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fa55a9nepsttertx0vawwcwp9z9vx5pfxe&quot;&gt;covid19 Copy&lt;record-ids&gt;&lt;item&gt;5&lt;/item&gt;&lt;item&gt;6&lt;/item&gt;&lt;item&gt;17&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75&lt;/item&gt;&lt;/record-ids&gt;&lt;/item&gt;&lt;/Libraries&gt;"/>
    <w:docVar w:name="EN.UseJSCitationFormat" w:val="False"/>
  </w:docVars>
  <w:rsids>
    <w:rsidRoot w:val="005B0BBB"/>
    <w:rsid w:val="0004584B"/>
    <w:rsid w:val="00057EE1"/>
    <w:rsid w:val="00062088"/>
    <w:rsid w:val="000650C2"/>
    <w:rsid w:val="00065D33"/>
    <w:rsid w:val="000661CB"/>
    <w:rsid w:val="00071DA0"/>
    <w:rsid w:val="00073503"/>
    <w:rsid w:val="0007636C"/>
    <w:rsid w:val="000A2D19"/>
    <w:rsid w:val="000B208A"/>
    <w:rsid w:val="000D701D"/>
    <w:rsid w:val="000E68DB"/>
    <w:rsid w:val="00111109"/>
    <w:rsid w:val="001339F0"/>
    <w:rsid w:val="00136830"/>
    <w:rsid w:val="001621D9"/>
    <w:rsid w:val="00181A2C"/>
    <w:rsid w:val="0018516A"/>
    <w:rsid w:val="001B7204"/>
    <w:rsid w:val="001D03AC"/>
    <w:rsid w:val="001D49B8"/>
    <w:rsid w:val="001E20CF"/>
    <w:rsid w:val="001E6B18"/>
    <w:rsid w:val="00203B9D"/>
    <w:rsid w:val="00205AD3"/>
    <w:rsid w:val="00217BE7"/>
    <w:rsid w:val="00232C56"/>
    <w:rsid w:val="00236514"/>
    <w:rsid w:val="00242CA8"/>
    <w:rsid w:val="002527AC"/>
    <w:rsid w:val="002E2E18"/>
    <w:rsid w:val="002E648B"/>
    <w:rsid w:val="002F5256"/>
    <w:rsid w:val="003024BB"/>
    <w:rsid w:val="00314E65"/>
    <w:rsid w:val="00317097"/>
    <w:rsid w:val="0031727D"/>
    <w:rsid w:val="00335261"/>
    <w:rsid w:val="003457BB"/>
    <w:rsid w:val="00347B1F"/>
    <w:rsid w:val="00392070"/>
    <w:rsid w:val="003A2377"/>
    <w:rsid w:val="003A2E11"/>
    <w:rsid w:val="003B123B"/>
    <w:rsid w:val="003B7773"/>
    <w:rsid w:val="003C71DD"/>
    <w:rsid w:val="00402BCC"/>
    <w:rsid w:val="00417A7B"/>
    <w:rsid w:val="00420016"/>
    <w:rsid w:val="00426121"/>
    <w:rsid w:val="00427359"/>
    <w:rsid w:val="0043258D"/>
    <w:rsid w:val="00436B85"/>
    <w:rsid w:val="00437D1F"/>
    <w:rsid w:val="00442E8D"/>
    <w:rsid w:val="00456FD2"/>
    <w:rsid w:val="00460BFF"/>
    <w:rsid w:val="004A172F"/>
    <w:rsid w:val="004A7086"/>
    <w:rsid w:val="004B0791"/>
    <w:rsid w:val="004B4569"/>
    <w:rsid w:val="004C5819"/>
    <w:rsid w:val="004E0D1D"/>
    <w:rsid w:val="00512E41"/>
    <w:rsid w:val="00530024"/>
    <w:rsid w:val="00534329"/>
    <w:rsid w:val="0053489F"/>
    <w:rsid w:val="005401FB"/>
    <w:rsid w:val="005431BE"/>
    <w:rsid w:val="00555762"/>
    <w:rsid w:val="00556427"/>
    <w:rsid w:val="00571415"/>
    <w:rsid w:val="0059347A"/>
    <w:rsid w:val="005A0A7D"/>
    <w:rsid w:val="005A268E"/>
    <w:rsid w:val="005B0BBB"/>
    <w:rsid w:val="005B6B28"/>
    <w:rsid w:val="005C4470"/>
    <w:rsid w:val="005C5AA3"/>
    <w:rsid w:val="005F2679"/>
    <w:rsid w:val="005F4631"/>
    <w:rsid w:val="00600D98"/>
    <w:rsid w:val="0061549A"/>
    <w:rsid w:val="00620267"/>
    <w:rsid w:val="00627276"/>
    <w:rsid w:val="00627C3A"/>
    <w:rsid w:val="0063141F"/>
    <w:rsid w:val="00631B20"/>
    <w:rsid w:val="006320AD"/>
    <w:rsid w:val="00645522"/>
    <w:rsid w:val="006B1717"/>
    <w:rsid w:val="006D4736"/>
    <w:rsid w:val="006D4E09"/>
    <w:rsid w:val="006E1752"/>
    <w:rsid w:val="006F288B"/>
    <w:rsid w:val="006F4E4C"/>
    <w:rsid w:val="00706803"/>
    <w:rsid w:val="00721C99"/>
    <w:rsid w:val="00725184"/>
    <w:rsid w:val="00731348"/>
    <w:rsid w:val="00741625"/>
    <w:rsid w:val="007504B0"/>
    <w:rsid w:val="007523E0"/>
    <w:rsid w:val="00752FC6"/>
    <w:rsid w:val="00754FCD"/>
    <w:rsid w:val="00783F4C"/>
    <w:rsid w:val="007877C0"/>
    <w:rsid w:val="007C4E6F"/>
    <w:rsid w:val="007C6967"/>
    <w:rsid w:val="00803CB8"/>
    <w:rsid w:val="00813DE9"/>
    <w:rsid w:val="0082004D"/>
    <w:rsid w:val="0084209D"/>
    <w:rsid w:val="008606BE"/>
    <w:rsid w:val="00865AE1"/>
    <w:rsid w:val="00866774"/>
    <w:rsid w:val="0088640A"/>
    <w:rsid w:val="008872C0"/>
    <w:rsid w:val="00891581"/>
    <w:rsid w:val="00892B36"/>
    <w:rsid w:val="008A1C56"/>
    <w:rsid w:val="008B3C50"/>
    <w:rsid w:val="008C2007"/>
    <w:rsid w:val="008E19D4"/>
    <w:rsid w:val="008E1F04"/>
    <w:rsid w:val="008E578A"/>
    <w:rsid w:val="008F27A3"/>
    <w:rsid w:val="00903DB6"/>
    <w:rsid w:val="00906237"/>
    <w:rsid w:val="00910FC4"/>
    <w:rsid w:val="0091403A"/>
    <w:rsid w:val="00941FF0"/>
    <w:rsid w:val="009450AE"/>
    <w:rsid w:val="00951DC9"/>
    <w:rsid w:val="00953BC0"/>
    <w:rsid w:val="00975F73"/>
    <w:rsid w:val="0098014D"/>
    <w:rsid w:val="009870DE"/>
    <w:rsid w:val="009951EE"/>
    <w:rsid w:val="009C6CA0"/>
    <w:rsid w:val="009D2A38"/>
    <w:rsid w:val="009D7EBB"/>
    <w:rsid w:val="00A008BF"/>
    <w:rsid w:val="00A05EA2"/>
    <w:rsid w:val="00A173C0"/>
    <w:rsid w:val="00A20B1E"/>
    <w:rsid w:val="00A3114B"/>
    <w:rsid w:val="00A37A9B"/>
    <w:rsid w:val="00A4652C"/>
    <w:rsid w:val="00A53233"/>
    <w:rsid w:val="00A545FB"/>
    <w:rsid w:val="00A72A3E"/>
    <w:rsid w:val="00A9201A"/>
    <w:rsid w:val="00AA552C"/>
    <w:rsid w:val="00AA58C8"/>
    <w:rsid w:val="00AA5C1F"/>
    <w:rsid w:val="00AC4002"/>
    <w:rsid w:val="00AC499E"/>
    <w:rsid w:val="00B022EB"/>
    <w:rsid w:val="00B1617F"/>
    <w:rsid w:val="00B361F8"/>
    <w:rsid w:val="00B37086"/>
    <w:rsid w:val="00B5026C"/>
    <w:rsid w:val="00B62A94"/>
    <w:rsid w:val="00BA6921"/>
    <w:rsid w:val="00BB4324"/>
    <w:rsid w:val="00BD130C"/>
    <w:rsid w:val="00BE1CB3"/>
    <w:rsid w:val="00BF35DC"/>
    <w:rsid w:val="00BF6A50"/>
    <w:rsid w:val="00C251EC"/>
    <w:rsid w:val="00C40E80"/>
    <w:rsid w:val="00C63A05"/>
    <w:rsid w:val="00C76FD6"/>
    <w:rsid w:val="00C7733C"/>
    <w:rsid w:val="00C82434"/>
    <w:rsid w:val="00CA4348"/>
    <w:rsid w:val="00CB09C6"/>
    <w:rsid w:val="00CB34DA"/>
    <w:rsid w:val="00CB512B"/>
    <w:rsid w:val="00CB57FD"/>
    <w:rsid w:val="00CD10AC"/>
    <w:rsid w:val="00CD46FC"/>
    <w:rsid w:val="00CE705C"/>
    <w:rsid w:val="00CF4562"/>
    <w:rsid w:val="00D15D54"/>
    <w:rsid w:val="00D303D1"/>
    <w:rsid w:val="00D6061B"/>
    <w:rsid w:val="00D7236E"/>
    <w:rsid w:val="00D9097E"/>
    <w:rsid w:val="00DA3D88"/>
    <w:rsid w:val="00DA5187"/>
    <w:rsid w:val="00DB0BD5"/>
    <w:rsid w:val="00DB6375"/>
    <w:rsid w:val="00DC3DA1"/>
    <w:rsid w:val="00DC535E"/>
    <w:rsid w:val="00DE680C"/>
    <w:rsid w:val="00E0502F"/>
    <w:rsid w:val="00E24643"/>
    <w:rsid w:val="00E32E81"/>
    <w:rsid w:val="00E34FAD"/>
    <w:rsid w:val="00E45900"/>
    <w:rsid w:val="00E476E9"/>
    <w:rsid w:val="00E540FC"/>
    <w:rsid w:val="00E60484"/>
    <w:rsid w:val="00E659AC"/>
    <w:rsid w:val="00E824E1"/>
    <w:rsid w:val="00E84F22"/>
    <w:rsid w:val="00E86AF2"/>
    <w:rsid w:val="00E9223C"/>
    <w:rsid w:val="00EB6D65"/>
    <w:rsid w:val="00EC1F4C"/>
    <w:rsid w:val="00EF12F9"/>
    <w:rsid w:val="00EF47E9"/>
    <w:rsid w:val="00F10690"/>
    <w:rsid w:val="00F114CC"/>
    <w:rsid w:val="00F32A55"/>
    <w:rsid w:val="00F36008"/>
    <w:rsid w:val="00F5300C"/>
    <w:rsid w:val="00F864E3"/>
    <w:rsid w:val="00F94955"/>
    <w:rsid w:val="00FB1E61"/>
    <w:rsid w:val="00FB2B51"/>
    <w:rsid w:val="00FB66F1"/>
    <w:rsid w:val="00FC346D"/>
    <w:rsid w:val="00FD2AFC"/>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2ECB"/>
  <w15:chartTrackingRefBased/>
  <w15:docId w15:val="{54110613-10A5-5A40-A7BD-E6FDB228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5B0BBB"/>
    <w:pPr>
      <w:spacing w:before="100" w:beforeAutospacing="1" w:after="100" w:afterAutospacing="1"/>
    </w:pPr>
    <w:rPr>
      <w:rFonts w:ascii="Times New Roman" w:eastAsia="Times New Roman" w:hAnsi="Times New Roman" w:cs="Times New Roman"/>
      <w:kern w:val="0"/>
      <w14:ligatures w14:val="none"/>
    </w:rPr>
  </w:style>
  <w:style w:type="paragraph" w:customStyle="1" w:styleId="EndNoteBibliographyTitle">
    <w:name w:val="EndNote Bibliography Title"/>
    <w:basedOn w:val="Normal"/>
    <w:link w:val="EndNoteBibliographyTitleChar"/>
    <w:rsid w:val="005B0BBB"/>
    <w:pPr>
      <w:jc w:val="center"/>
    </w:pPr>
    <w:rPr>
      <w:rFonts w:ascii="Calibri" w:hAnsi="Calibri" w:cs="Calibri"/>
    </w:rPr>
  </w:style>
  <w:style w:type="character" w:customStyle="1" w:styleId="NormalWebChar">
    <w:name w:val="Normal (Web) Char"/>
    <w:basedOn w:val="DefaultParagraphFont"/>
    <w:link w:val="NormalWeb"/>
    <w:uiPriority w:val="99"/>
    <w:rsid w:val="005B0BBB"/>
    <w:rPr>
      <w:rFonts w:ascii="Times New Roman" w:eastAsia="Times New Roman" w:hAnsi="Times New Roman" w:cs="Times New Roman"/>
      <w:kern w:val="0"/>
      <w14:ligatures w14:val="none"/>
    </w:rPr>
  </w:style>
  <w:style w:type="character" w:customStyle="1" w:styleId="EndNoteBibliographyTitleChar">
    <w:name w:val="EndNote Bibliography Title Char"/>
    <w:basedOn w:val="NormalWebChar"/>
    <w:link w:val="EndNoteBibliographyTitle"/>
    <w:rsid w:val="005B0BBB"/>
    <w:rPr>
      <w:rFonts w:ascii="Calibri" w:eastAsia="Times New Roman" w:hAnsi="Calibri" w:cs="Calibri"/>
      <w:kern w:val="0"/>
      <w14:ligatures w14:val="none"/>
    </w:rPr>
  </w:style>
  <w:style w:type="paragraph" w:customStyle="1" w:styleId="EndNoteBibliography">
    <w:name w:val="EndNote Bibliography"/>
    <w:basedOn w:val="Normal"/>
    <w:link w:val="EndNoteBibliographyChar"/>
    <w:rsid w:val="005B0BBB"/>
    <w:rPr>
      <w:rFonts w:ascii="Calibri" w:hAnsi="Calibri" w:cs="Calibri"/>
    </w:rPr>
  </w:style>
  <w:style w:type="character" w:customStyle="1" w:styleId="EndNoteBibliographyChar">
    <w:name w:val="EndNote Bibliography Char"/>
    <w:basedOn w:val="NormalWebChar"/>
    <w:link w:val="EndNoteBibliography"/>
    <w:rsid w:val="005B0BBB"/>
    <w:rPr>
      <w:rFonts w:ascii="Calibri" w:eastAsia="Times New Roman" w:hAnsi="Calibri" w:cs="Calibri"/>
      <w:kern w:val="0"/>
      <w14:ligatures w14:val="none"/>
    </w:rPr>
  </w:style>
  <w:style w:type="character" w:styleId="Hyperlink">
    <w:name w:val="Hyperlink"/>
    <w:basedOn w:val="DefaultParagraphFont"/>
    <w:uiPriority w:val="99"/>
    <w:unhideWhenUsed/>
    <w:rsid w:val="005B0BBB"/>
    <w:rPr>
      <w:color w:val="0563C1" w:themeColor="hyperlink"/>
      <w:u w:val="single"/>
    </w:rPr>
  </w:style>
  <w:style w:type="character" w:styleId="UnresolvedMention">
    <w:name w:val="Unresolved Mention"/>
    <w:basedOn w:val="DefaultParagraphFont"/>
    <w:uiPriority w:val="99"/>
    <w:semiHidden/>
    <w:unhideWhenUsed/>
    <w:rsid w:val="005B0BBB"/>
    <w:rPr>
      <w:color w:val="605E5C"/>
      <w:shd w:val="clear" w:color="auto" w:fill="E1DFDD"/>
    </w:rPr>
  </w:style>
  <w:style w:type="paragraph" w:styleId="Title">
    <w:name w:val="Title"/>
    <w:basedOn w:val="Normal"/>
    <w:next w:val="Normal"/>
    <w:link w:val="TitleChar"/>
    <w:uiPriority w:val="10"/>
    <w:qFormat/>
    <w:rsid w:val="00725184"/>
    <w:pPr>
      <w:keepNext/>
      <w:keepLines/>
      <w:spacing w:after="60" w:line="276" w:lineRule="auto"/>
    </w:pPr>
    <w:rPr>
      <w:rFonts w:ascii="Arial" w:eastAsia="Arial" w:hAnsi="Arial" w:cs="Arial"/>
      <w:kern w:val="0"/>
      <w:sz w:val="52"/>
      <w:szCs w:val="52"/>
      <w:lang w:val="en"/>
      <w14:ligatures w14:val="none"/>
    </w:rPr>
  </w:style>
  <w:style w:type="character" w:customStyle="1" w:styleId="TitleChar">
    <w:name w:val="Title Char"/>
    <w:basedOn w:val="DefaultParagraphFont"/>
    <w:link w:val="Title"/>
    <w:uiPriority w:val="10"/>
    <w:rsid w:val="00725184"/>
    <w:rPr>
      <w:rFonts w:ascii="Arial" w:eastAsia="Arial" w:hAnsi="Arial" w:cs="Arial"/>
      <w:kern w:val="0"/>
      <w:sz w:val="52"/>
      <w:szCs w:val="52"/>
      <w:lang w:val="en"/>
      <w14:ligatures w14:val="none"/>
    </w:rPr>
  </w:style>
  <w:style w:type="character" w:styleId="LineNumber">
    <w:name w:val="line number"/>
    <w:basedOn w:val="DefaultParagraphFont"/>
    <w:uiPriority w:val="99"/>
    <w:semiHidden/>
    <w:unhideWhenUsed/>
    <w:rsid w:val="009D2A38"/>
  </w:style>
  <w:style w:type="table" w:styleId="TableGrid">
    <w:name w:val="Table Grid"/>
    <w:basedOn w:val="TableNormal"/>
    <w:uiPriority w:val="39"/>
    <w:rsid w:val="00865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C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8238</Words>
  <Characters>46961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Khairul Islam</dc:creator>
  <cp:keywords/>
  <dc:description/>
  <cp:lastModifiedBy>Md Khairul Islam</cp:lastModifiedBy>
  <cp:revision>2</cp:revision>
  <dcterms:created xsi:type="dcterms:W3CDTF">2025-01-16T15:33:00Z</dcterms:created>
  <dcterms:modified xsi:type="dcterms:W3CDTF">2025-01-16T15:33:00Z</dcterms:modified>
</cp:coreProperties>
</file>