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Microsoft YaHei" w:hAnsi="Microsoft YaHei" w:eastAsia="Microsoft YaHei"/>
          <w:b/>
          <w:color w:val="2E5B88"/>
          <w:sz w:val="20"/>
        </w:rPr>
        <w:t>深度调研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8324A"/>
          <w:sz w:val="50"/>
        </w:rPr>
        <w:t>Regent 突破方向判断</w:t>
      </w:r>
    </w:p>
    <w:p>
      <w:pPr>
        <w:spacing w:after="360"/>
      </w:pPr>
      <w:r>
        <w:rPr>
          <w:rFonts w:ascii="Microsoft YaHei" w:hAnsi="Microsoft YaHei" w:eastAsia="Microsoft YaHei"/>
          <w:color w:val="667085"/>
          <w:sz w:val="26"/>
        </w:rPr>
        <w:t>现有实现 × 开源生态 × AI 可靠性边界</w:t>
      </w:r>
    </w:p>
    <w:p>
      <w:pPr>
        <w:spacing w:after="60"/>
      </w:pPr>
      <w:r>
        <w:rPr>
          <w:rFonts w:ascii="Microsoft YaHei" w:hAnsi="Microsoft YaHei" w:eastAsia="Microsoft YaHei"/>
          <w:b/>
          <w:color w:val="18324A"/>
          <w:sz w:val="21"/>
        </w:rPr>
        <w:t>决策问题：</w:t>
      </w:r>
      <w:r>
        <w:rPr>
          <w:rFonts w:ascii="Microsoft YaHei" w:hAnsi="Microsoft YaHei" w:eastAsia="Microsoft YaHei"/>
          <w:sz w:val="21"/>
        </w:rPr>
        <w:t>哪个方向最适合形成首个可运行、可销售、可扩张的突破口？</w:t>
      </w:r>
    </w:p>
    <w:p>
      <w:pPr>
        <w:spacing w:after="60"/>
      </w:pPr>
      <w:r>
        <w:rPr>
          <w:rFonts w:ascii="Microsoft YaHei" w:hAnsi="Microsoft YaHei" w:eastAsia="Microsoft YaHei"/>
          <w:b/>
          <w:color w:val="18324A"/>
          <w:sz w:val="21"/>
        </w:rPr>
        <w:t>建议方向：</w:t>
      </w:r>
      <w:r>
        <w:rPr>
          <w:rFonts w:ascii="Microsoft YaHei" w:hAnsi="Microsoft YaHei" w:eastAsia="Microsoft YaHei"/>
          <w:sz w:val="21"/>
        </w:rPr>
        <w:t>Web/API 服务：异常到安全发布的闭环</w:t>
      </w:r>
    </w:p>
    <w:p>
      <w:pPr>
        <w:spacing w:after="60"/>
      </w:pPr>
      <w:r>
        <w:rPr>
          <w:rFonts w:ascii="Microsoft YaHei" w:hAnsi="Microsoft YaHei" w:eastAsia="Microsoft YaHei"/>
          <w:b/>
          <w:color w:val="18324A"/>
          <w:sz w:val="21"/>
        </w:rPr>
        <w:t>范围：</w:t>
      </w:r>
      <w:r>
        <w:rPr>
          <w:rFonts w:ascii="Microsoft YaHei" w:hAnsi="Microsoft YaHei" w:eastAsia="Microsoft YaHei"/>
          <w:sz w:val="21"/>
        </w:rPr>
        <w:t>截至 2026-08-29；技术、产品、AI 科学三方视角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8"/>
          </w:tcPr>
          <w:p>
            <w:pPr>
              <w:spacing w:before="140" w:after="140"/>
            </w:pPr>
            <w:r>
              <w:rPr>
                <w:rFonts w:ascii="Microsoft YaHei" w:hAnsi="Microsoft YaHei" w:eastAsia="Microsoft YaHei"/>
                <w:b/>
                <w:color w:val="2E5B88"/>
                <w:sz w:val="22"/>
              </w:rPr>
              <w:t xml:space="preserve">核心结论  </w:t>
            </w:r>
            <w:r>
              <w:rPr>
                <w:rFonts w:ascii="Microsoft YaHei" w:hAnsi="Microsoft YaHei" w:eastAsia="Microsoft YaHei"/>
                <w:b/>
                <w:color w:val="18324A"/>
                <w:sz w:val="22"/>
              </w:rPr>
              <w:t>不做通用遗留接管或多端 App 托管；先把高信号线上问题稳定闭环到修复、验证、灰度和回滚。</w:t>
            </w:r>
          </w:p>
        </w:tc>
      </w:tr>
    </w:tbl>
    <w:p>
      <w:pPr>
        <w:pStyle w:val="Heading1"/>
      </w:pPr>
      <w:r>
        <w:t>执行结论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Regent 不应以“多端产品全托管”“通用遗留项目接管”“AI 版宝塔”“通用 Agent 框架”作为首个突破口。最适合的首个产品是：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8"/>
          </w:tcPr>
          <w:p>
            <w:pPr>
              <w:spacing w:before="120" w:after="120"/>
            </w:pPr>
            <w:r>
              <w:rPr>
                <w:rFonts w:ascii="Microsoft YaHei" w:hAnsi="Microsoft YaHei" w:eastAsia="Microsoft YaHei"/>
                <w:b/>
                <w:color w:val="18324A"/>
                <w:sz w:val="22"/>
              </w:rPr>
              <w:t>面向 Git 管理、可观测、可灰度回滚的 Web/API 服务，完成从线上异常或维护信号到修复 PR、验证、渐进式发布和线上复验的闭环。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可对外称为：Regent Web Service Care（Web 服务 AI 托管维护）。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首期只处理三类高信号工作：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由异常堆栈、日志和 trace 支撑、能够复现的线上 Bug；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有 CI 和回归验证支撑的安全补丁与 patch/minor 依赖升级；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由健康指标明确判定成功或失败、可以自动回滚的配置和代码修复。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Regent 的差异化不是再造一个 Coding Agent，而是长期持有“哪个项目出了什么问题、调用哪个执行器、证据是否充分、能否发布、发布后是否恢复、失败如何回滚”的责任闭环。Codex、OpenHands、SWE-agent 等应作为可替换执行器；Renovate/Dependabot、Sentry/OpenTelemetry、Argo Rollouts 等应作为信号源和确定性执行部件。</w:t>
      </w:r>
    </w:p>
    <w:p>
      <w:pPr>
        <w:pStyle w:val="Heading1"/>
      </w:pPr>
      <w:r>
        <w:t>一、为什么多端 App 托管不是首个突破口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App 版本不是单一可控运行状态。iOS/Android 存在审核延迟、用户延迟升级、客户端版本碎片化、签名凭证、SDK/OS 兼容和服务端长期兼容窗口。服务端成功发布不意味着客户端能够同步发布，更不意味着用户已经迁移。产品状态会变成“服务端新版本、Web 新版本、Android 灰度、iOS 审核中、旧客户端仍活跃”的组合状态。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这要求 Regent 在尚未证明单一 Web 服务生产闭环之前，同时解决版本协议治理、商店审核、签名安全、客户端遥测、兼容废弃和多仓库发布。它会把第一性难题从“AI 能否安全修复线上问题”转化为“能否建设完整移动发布平台”。后者既不是 Regent 当前优势，也难以在短期形成统一验收。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结论：App 可以成为后续组件，但首期明确排除 App Store/移动端全自动发布。</w:t>
      </w:r>
    </w:p>
    <w:p>
      <w:pPr>
        <w:pStyle w:val="Heading1"/>
      </w:pPr>
      <w:r>
        <w:t>二、Regent 现有实现的真实基线</w:t>
      </w:r>
    </w:p>
    <w:p>
      <w:pPr>
        <w:pStyle w:val="Heading2"/>
      </w:pPr>
      <w:r>
        <w:t>已有可复用资产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Goal/Work/Run、Worker Lease、Timer、Outbox、预算、Permit、审计和恢复构成了长任务控制面。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AgentRunner 已具备工具循环、上下文压缩、预算控制、验证失败后的同轨迹修复和反循环机制。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已有预览部署、回滚接口、行为监测、自动再调度、交付状态机和人工介入路径。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固定的执行/独立验证责任分离，适合把“生成补丁”和“允许发布”分开。</w:t>
      </w:r>
    </w:p>
    <w:p>
      <w:pPr>
        <w:pStyle w:val="Heading2"/>
      </w:pPr>
      <w:r>
        <w:t>决定当前不能直接做托管平台的缺口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`STATUS.md` 明确记录生产 agentic canary 为 0%，M6 观察窗停止，GQ-4 未通过。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沙箱仍有 UID 写盘和宿主路径挂载阻断；部署文档明确当前 Compose 不是生产安全基线。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运行时监测主要面向 Regent 自己生成的 preview URL，并检查内容量、角色、场景等应用生成指标，不是生产服务的错误、trace、SLO 和部署回归监测。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当前部署能力集中在静态预览、运行时预览、Vercel/Netlify/Tunnel，不是任意存量服务的 GitOps/渐进式生产发布控制面。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仓库没有成熟的 GitHub/GitLab 项目接管、PR 生命周期、生产 telemetry 关联和项目级长期身份模型。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现有评测主要证明结构和单元路径，尚未证明连续管理多个真实服务的无人闭环率。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因此，Regent 不是从 0 开始，但必须承认：现有核心更像“受治理的 AI 生成与交付控制面”，距离“存量线上服务托管”仍缺项目连接器、生产信号、标准执行环境和真实发布验证。</w:t>
      </w:r>
    </w:p>
    <w:p>
      <w:pPr>
        <w:pStyle w:val="Heading1"/>
      </w:pPr>
      <w:r>
        <w:t>三、开源生态最新进展意味着什么</w:t>
      </w:r>
    </w:p>
    <w:p>
      <w:pPr>
        <w:pStyle w:val="Heading2"/>
      </w:pPr>
      <w:r>
        <w:t>Coding Agent 已经商品化，不能作为 Regent 的护城河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OpenHands 已提供远程 Agent Server、隔离工作区、GitHub/GitLab/Bitbucket/Azure DevOps Issue Resolver 和 PR Review；SWE-ReX 提供可在 Docker、远程机器、Modal、Fargate 等环境运行的统一沙箱接口；GitHub Coding Agents 已可从 Issue、PR 和 Agents 页启动并产出 PR；Codex 已能在云端执行仓库任务、浏览器验证和代码审查。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这意味着“读仓库、改代码、跑测试、提 PR”已成为基础设施。Regent 自研 Agent 内核若不能显著优于这些执行器，就不应继续把大部分资源投入通用 Coding Agent 竞争。</w:t>
      </w:r>
    </w:p>
    <w:p>
      <w:pPr>
        <w:pStyle w:val="Heading2"/>
      </w:pPr>
      <w:r>
        <w:t>依赖维护已经有成熟的确定性触发器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Renovate 支持多平台、多语言、自托管、定时更新、分组和测试通过后的自动合并；Dependabot 能从漏洞告警创建最小修复版本 PR，并支持分组与组织级规则。两者都强调：自动合并依赖良好的测试，生产依赖和高风险升级需要更谨慎。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Regent 的机会不是重新实现依赖发现，而是处理现有工具留下的“困难尾部”：升级后测试失败、需要代码迁移、多个候选方案、上线后验证和失败回滚。</w:t>
      </w:r>
    </w:p>
    <w:p>
      <w:pPr>
        <w:pStyle w:val="Heading2"/>
      </w:pPr>
      <w:r>
        <w:t>AI SRE 正从聊天诊断走向 telemetry 到 PR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Sentry Seer 已把错误上下文、trace、日志、profile 和代码仓库结合，支持根因、方案、代码修改和创建 PR；HolmesGPT/Robusta 聚焦云原生告警调查、根因分析和规则式自愈。说明“告警解释”本身也正在商品化。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Regent 的突破口必须继续向右移动：不仅解释异常或生成 PR，而是对 PR 的验证、风险分级、发布策略、线上复验和长期项目状态负责。</w:t>
      </w:r>
    </w:p>
    <w:p>
      <w:pPr>
        <w:pStyle w:val="Heading2"/>
      </w:pPr>
      <w:r>
        <w:t>渐进式发布已有确定性基础设施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Argo Rollouts 支持 Canary/Blue-Green、指标分析、自动终止和回到稳定版本。OpenTelemetry 已为 trace、metric、log、resource 和 CI/CD 提供统一语义约定。这些能力应该被 Regent 编排，而不是由 LLM 自己模拟。</w:t>
      </w:r>
    </w:p>
    <w:p>
      <w:pPr>
        <w:pStyle w:val="Heading1"/>
      </w:pPr>
      <w:r>
        <w:t>四、AI 科学家的判断：把模型放在可证伪的位置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METR 的时间跨度研究表明前沿模型可完成的任务长度快速增长，但 50% 时间跨度本身意味着相当高的失败概率；其 2026 数据还提示 16 小时以上估计存在任务集局限。OpenAI SWE-Lancer 使用真实自由职业任务和端到端测试，早期结论仍是前沿模型无法解决多数任务。2026 年的软件工程研究继续指出 SWE-bench 存在测试 oracle 不完整和 patch overfitting：补丁通过现有测试仍可能是错的。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因此不能把“Agent 认为修好了”或“现有测试绿了”作为自动生产发布的充分条件。适合自动化的问题必须同时具有：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高质量外部信号：异常堆栈、trace、失败请求、漏洞或 CI 错误；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可复现性：能够在隔离环境触发问题；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机器 oracle：回归测试、合同测试、健康/SLO 指标；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可逆性：PR、镜像、灰度和自动回滚；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有界影响：单服务、低比例流量、无不可逆数据迁移。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模型负责假设、定位和修改；确定性系统负责权限、测试、放量、指标和回滚。这个分工与 Regent 现有“LLM 提 Command、应用服务执行状态转换”的不变式一致。</w:t>
      </w:r>
    </w:p>
    <w:p>
      <w:pPr>
        <w:pStyle w:val="Heading1"/>
      </w:pPr>
      <w:r>
        <w:t>五、候选方向比较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100"/>
        <w:gridCol w:w="1200"/>
        <w:gridCol w:w="1200"/>
        <w:gridCol w:w="1100"/>
        <w:gridCol w:w="3260"/>
      </w:tblGrid>
      <w:tr>
        <w:tc>
          <w:tcPr>
            <w:tcW w:type="dxa" w:w="1500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方向</w:t>
            </w:r>
          </w:p>
        </w:tc>
        <w:tc>
          <w:tcPr>
            <w:tcW w:type="dxa" w:w="1100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差异化</w:t>
            </w:r>
          </w:p>
        </w:tc>
        <w:tc>
          <w:tcPr>
            <w:tcW w:type="dxa" w:w="1200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与现有实现匹配</w:t>
            </w:r>
          </w:p>
        </w:tc>
        <w:tc>
          <w:tcPr>
            <w:tcW w:type="dxa" w:w="1200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AI 可验证性</w:t>
            </w:r>
          </w:p>
        </w:tc>
        <w:tc>
          <w:tcPr>
            <w:tcW w:type="dxa" w:w="1100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首期工程风险</w:t>
            </w:r>
          </w:p>
        </w:tc>
        <w:tc>
          <w:tcPr>
            <w:tcW w:type="dxa" w:w="3260"/>
            <w:vAlign w:val="center"/>
            <w:shd w:fill="EEF3F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18324A"/>
                <w:sz w:val="17"/>
              </w:rPr>
              <w:t>结论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通用服务器 WorkBuddy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已被 Codex/OpenHands 等覆盖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Git 源码重构部署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中高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中高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可作为接管步骤，不是产品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无限制遗留项目全托管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高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极高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无法标准化准入和 oracle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多端 Web+iOS+Android 托管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高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极高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版本/审核/兼容状态过于复杂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AI 版宝塔/服务器自治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极高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偏离 Regent 资产且责任过大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LangGraph 类框架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低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中高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不适用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高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红海，用户需自行构建产品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Web/API 异常到安全发布闭环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高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高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高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**首选突破口**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大规模依赖升级失败修复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中高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高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高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中</w:t>
            </w:r>
          </w:p>
        </w:tc>
        <w:tc>
          <w:tcPr>
            <w:tcW w:type="dxa" w:w="326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 w:val="0"/>
                <w:color w:val="18324A"/>
                <w:sz w:val="17"/>
              </w:rPr>
              <w:t>作为首选方向的第二触发器</w:t>
            </w:r>
          </w:p>
        </w:tc>
      </w:tr>
    </w:tbl>
    <w:p>
      <w:pPr>
        <w:pStyle w:val="Heading1"/>
      </w:pPr>
      <w:r>
        <w:t>六、产品定义：Regent Web Service Care</w:t>
      </w:r>
    </w:p>
    <w:p>
      <w:pPr>
        <w:pStyle w:val="Heading2"/>
      </w:pPr>
      <w:r>
        <w:t>目标客户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有 10–200 个仍在线、维护人力不足的 Web/API 服务；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代码在 GitHub/GitLab 等 Git 平台；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已有或愿意接入基础 telemetry；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可以建立 CI、测试环境和可回滚发布；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当前痛点是告警、漏洞和依赖 PR 堆积，而非缺少新功能创意。</w:t>
      </w:r>
    </w:p>
    <w:p>
      <w:pPr>
        <w:pStyle w:val="Heading2"/>
      </w:pPr>
      <w:r>
        <w:t>首期承诺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8"/>
          </w:tcPr>
          <w:p>
            <w:pPr>
              <w:spacing w:before="120" w:after="120"/>
            </w:pPr>
            <w:r>
              <w:rPr>
                <w:rFonts w:ascii="Microsoft YaHei" w:hAnsi="Microsoft YaHei" w:eastAsia="Microsoft YaHei"/>
                <w:b/>
                <w:color w:val="18324A"/>
                <w:sz w:val="22"/>
              </w:rPr>
              <w:t>接入一个 Web/API 服务后，Regent 持续接收错误、CI、漏洞和依赖信号；对可复现、可验证、可回滚的问题生成并验证修复，创建 PR；在项目策略允许时进行灰度发布，依据线上指标自动确认或回滚；无法安全处理的问题进入例外队列。</w:t>
            </w:r>
          </w:p>
        </w:tc>
      </w:tr>
    </w:tbl>
    <w:p>
      <w:pPr>
        <w:pStyle w:val="Heading2"/>
      </w:pPr>
      <w:r>
        <w:t>明确不承诺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不接管整台服务器；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不默认支持移动 App 商店发布；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不自动执行数据库破坏性迁移；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不处理没有源码、没有可复现环境、没有验证指标的项目；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不以 LLM 评审替代测试和线上指标；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不重造 Coding Agent、Renovate、Sentry 或 Argo Rollouts。</w:t>
      </w:r>
    </w:p>
    <w:p>
      <w:pPr>
        <w:pStyle w:val="Heading2"/>
      </w:pPr>
      <w:r>
        <w:t>最小闭环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18324A"/>
          <w:sz w:val="17"/>
        </w:rPr>
        <w:t>Sentry/OTel/CI/Renovate 信号</w:t>
        <w:br/>
        <w:t xml:space="preserve">        ↓</w:t>
        <w:br/>
        <w:t>问题归并与可行动性评分</w:t>
        <w:br/>
        <w:t xml:space="preserve">        ↓</w:t>
        <w:br/>
        <w:t>隔离环境复现</w:t>
        <w:br/>
        <w:t xml:space="preserve">        ↓</w:t>
        <w:br/>
        <w:t>调用 Codex/OpenHands/SWE-agent 生成最小修复</w:t>
        <w:br/>
        <w:t xml:space="preserve">        ↓</w:t>
        <w:br/>
        <w:t>回归测试 + 合同测试 + 独立验证</w:t>
        <w:br/>
        <w:t xml:space="preserve">        ↓</w:t>
        <w:br/>
        <w:t>PR / 策略批准</w:t>
        <w:br/>
        <w:t xml:space="preserve">        ↓</w:t>
        <w:br/>
        <w:t>Canary/Blue-Green 发布</w:t>
        <w:br/>
        <w:t xml:space="preserve">        ↓</w:t>
        <w:br/>
        <w:t>线上指标比较</w:t>
        <w:br/>
        <w:t xml:space="preserve">   ↙             ↘</w:t>
        <w:br/>
        <w:t>确认稳定        自动回滚/升级例外</w:t>
      </w:r>
    </w:p>
    <w:p>
      <w:pPr>
        <w:pStyle w:val="Heading1"/>
      </w:pPr>
      <w:r>
        <w:t>七、三方建议</w:t>
      </w:r>
    </w:p>
    <w:p>
      <w:pPr>
        <w:pStyle w:val="Heading2"/>
      </w:pPr>
      <w:r>
        <w:t>技术负责人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将 Regent 从“自己实现所有能力”改为控制面：通过 adapter 接入 Git、telemetry、Coding Agent、CI 和渐进式发布。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新增一等对象 `ManagedService`、`Incident`、`ChangeCandidate`、`ReleaseObservation`，不要继续把长期服务状态塞进 Goal metadata。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首期只支持一种黄金路径：GitHub/GitLab + Docker + HTTP Web/API + Sentry/OTel + CI + 单一部署适配器。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修复现有 sandbox UID/路径问题并完成生产主机资格验证；在此之前不开放自动发布。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将现有内容行为监测退出首期主线，替换为错误率、延迟、关键请求成功率、版本和发布事件关联。</w:t>
      </w:r>
    </w:p>
    <w:p>
      <w:pPr>
        <w:pStyle w:val="Heading2"/>
      </w:pPr>
      <w:r>
        <w:t>产品负责人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不卖“AI 自主运营”，卖“从线上异常到已验证修复的闭环”和“一人监管更多低活跃服务”。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首期按服务收费，核心指标是例外率、平均恢复时间、自动闭环率和变更失败率，不是 Agent 数量或 token。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先与 5–10 个技术栈相似的内部/客户 Web 服务共创，拒绝异构大杂烩。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UI 以服务组合、事件、变更候选、灰度观察和例外队列为核心，不以聊天和 Goal 阶段为核心。</w:t>
      </w:r>
    </w:p>
    <w:p>
      <w:pPr>
        <w:pStyle w:val="Heading2"/>
      </w:pPr>
      <w:r>
        <w:t>AI 科学家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建立项目私有、时间切分的 incident-to-fix 评测，避免 SWE-bench 分数替代生产证据。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评价四个独立环节：可行动性分类、复现成功、补丁正确、发布后恢复；不要用单一“任务成功率”掩盖失败位置。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使用多候选和独立 oracle，而非同模型角色投票；测试和线上指标优先于 LLM judge。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仅在历史数据证明某类变更稳定后扩大自动发布权限；高风险类别保持 PR-only。</w:t>
      </w:r>
    </w:p>
    <w:p>
      <w:pPr>
        <w:pStyle w:val="Heading1"/>
      </w:pPr>
      <w:r>
        <w:t>八、90 天突破计划</w:t>
      </w:r>
    </w:p>
    <w:p>
      <w:pPr>
        <w:pStyle w:val="Heading2"/>
      </w:pPr>
      <w:r>
        <w:t>0–30 天：建立黄金路径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选定 5 个 Docker 化 Web/API 服务；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接入 Git、Sentry/OTel 或等价错误信号、CI；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打通“事件→复现包→调用外部 Coding Agent→PR”；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修复 Regent sandbox 生产阻断；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只生成 PR，不发布生产。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出口：至少 20 个历史/注入事件；可行动性分类准确率、复现率和 PR 测试通过率可复算。</w:t>
      </w:r>
    </w:p>
    <w:p>
      <w:pPr>
        <w:pStyle w:val="Heading2"/>
      </w:pPr>
      <w:r>
        <w:t>31–60 天：验证与预生产发布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增加回归/合同/冒烟测试和变更风险分类；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接入预生产环境和确定性部署适配器；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失败自动回到稳定版本；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比较不同 Coding Agent 执行器，不绑定单一模型。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出口：至少 10 个真实修复在预生产完成完整闭环，无人工修改 Regent 内部数据库或状态。</w:t>
      </w:r>
    </w:p>
    <w:p>
      <w:pPr>
        <w:pStyle w:val="Heading2"/>
      </w:pPr>
      <w:r>
        <w:t>61–90 天：低风险生产灰度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仅开放已经证明安全的变更类别；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5%/20%/50%/100% 放量，指标异常自动回滚；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建立例外队列和一人多服务工作台；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输出自动闭环率、人工分钟数、MTTR、变更失败率、成本。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出口：不少于 30 次低风险生产变更；零不可恢复事故；能证明一名操作者可以监管至少 10 个低活跃服务。</w:t>
      </w:r>
    </w:p>
    <w:p>
      <w:pPr>
        <w:pStyle w:val="Heading2"/>
      </w:pPr>
      <w:r>
        <w:t>终止条件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出现任一情况应停止扩张并修基础闭环：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复现率低于 50%；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通过测试的补丁在线上频繁失败；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自动回滚不能在承诺窗口内完成；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每个事件仍需大量人工补上下文；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Regent 自身状态需要频繁手工修库；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单服务成本接近人工维护成本且没有规模下降趋势。</w:t>
      </w:r>
    </w:p>
    <w:p>
      <w:pPr>
        <w:pStyle w:val="Heading1"/>
      </w:pPr>
      <w:r>
        <w:t>九、最终决策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Regent 最适合的突破方向不是更宏大的“项目托管”，而是一个更硬、更窄、更可测的闭环：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8"/>
          </w:tcPr>
          <w:p>
            <w:pPr>
              <w:spacing w:before="120" w:after="120"/>
            </w:pPr>
            <w:r>
              <w:rPr>
                <w:rFonts w:ascii="Microsoft YaHei" w:hAnsi="Microsoft YaHei" w:eastAsia="Microsoft YaHei"/>
                <w:b/>
                <w:color w:val="18324A"/>
                <w:sz w:val="22"/>
              </w:rPr>
              <w:t>先成为 Web/API 服务的 AI 维护控制面：从高信号异常和维护事件出发，调用现成 Agent 修复，用确定性测试和渐进式发布验证，并对线上结果和回滚负责。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一旦这个闭环在同类服务上稳定，Regent 才有资格沿两个方向扩张：向上扩展到性能、成本和有限产品优化；横向扩展到更多技术栈和多仓库。移动 App、多端同步、通用遗留项目考古和自主经营均应留在后续，而不是首个产品承诺。</w:t>
      </w:r>
    </w:p>
    <w:p>
      <w:pPr>
        <w:pStyle w:val="Heading1"/>
      </w:pPr>
      <w:r>
        <w:t>主要来源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OpenHands, “Remote Agent Server Overview” (2026), </w:t>
      </w:r>
      <w:hyperlink r:id="rId11">
        <w:r>
          <w:rPr>
            <w:color w:val="2E5B88"/>
            <w:u w:val="single"/>
            <w:rFonts w:eastAsia="Microsoft YaHei" w:ascii="Microsoft YaHei"/>
          </w:rPr>
          <w:t>https://docs.openhands.dev/sdk/guides/agent-server/overview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OpenHands, “Issue Resolver” (accessed 2026-08-29), </w:t>
      </w:r>
      <w:hyperlink r:id="rId12">
        <w:r>
          <w:rPr>
            <w:color w:val="2E5B88"/>
            <w:u w:val="single"/>
            <w:rFonts w:eastAsia="Microsoft YaHei" w:ascii="Microsoft YaHei"/>
          </w:rPr>
          <w:t>https://github.com/All-Hands-AI/OpenHands/blob/main/openhands/resolver/README.md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SWE-agent, “SWE-ReX” (accessed 2026-08-29), </w:t>
      </w:r>
      <w:hyperlink r:id="rId13">
        <w:r>
          <w:rPr>
            <w:color w:val="2E5B88"/>
            <w:u w:val="single"/>
            <w:rFonts w:eastAsia="Microsoft YaHei" w:ascii="Microsoft YaHei"/>
          </w:rPr>
          <w:t>https://github.com/SWE-agent/SWE-ReX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GitHub, “About third-party coding agents” (accessed 2026-08-29), </w:t>
      </w:r>
      <w:hyperlink r:id="rId14">
        <w:r>
          <w:rPr>
            <w:color w:val="2E5B88"/>
            <w:u w:val="single"/>
            <w:rFonts w:eastAsia="Microsoft YaHei" w:ascii="Microsoft YaHei"/>
          </w:rPr>
          <w:t>https://docs.github.com/en/copilot/concepts/agents/about-third-party-coding-agents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OpenAI, “Running Codex safely at OpenAI” (2026-05-08), </w:t>
      </w:r>
      <w:hyperlink r:id="rId15">
        <w:r>
          <w:rPr>
            <w:color w:val="2E5B88"/>
            <w:u w:val="single"/>
            <w:rFonts w:eastAsia="Microsoft YaHei" w:ascii="Microsoft YaHei"/>
          </w:rPr>
          <w:t>https://openai.com/index/running-codex-safely/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Renovate, “Renovate Documentation” and “Automerge” (accessed 2026-08-29), </w:t>
      </w:r>
      <w:hyperlink r:id="rId16">
        <w:r>
          <w:rPr>
            <w:color w:val="2E5B88"/>
            <w:u w:val="single"/>
            <w:rFonts w:eastAsia="Microsoft YaHei" w:ascii="Microsoft YaHei"/>
          </w:rPr>
          <w:t>https://docs.renovatebot.com/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GitHub, “Dependabot security updates” (accessed 2026-08-29), </w:t>
      </w:r>
      <w:hyperlink r:id="rId17">
        <w:r>
          <w:rPr>
            <w:color w:val="2E5B88"/>
            <w:u w:val="single"/>
            <w:rFonts w:eastAsia="Microsoft YaHei" w:ascii="Microsoft YaHei"/>
          </w:rPr>
          <w:t>https://docs.github.com/en/code-security/concepts/supply-chain-security/dependabot-security-updates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Sentry, “Seer” and “Start Seer Issue Fix” (accessed 2026-08-29), </w:t>
      </w:r>
      <w:hyperlink r:id="rId18">
        <w:r>
          <w:rPr>
            <w:color w:val="2E5B88"/>
            <w:u w:val="single"/>
            <w:rFonts w:eastAsia="Microsoft YaHei" w:ascii="Microsoft YaHei"/>
          </w:rPr>
          <w:t>https://docs.sentry.io/product/ai-in-sentry/seer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Robusta, “Robusta Classic / HolmesGPT” (accessed 2026-08-29), </w:t>
      </w:r>
      <w:hyperlink r:id="rId19">
        <w:r>
          <w:rPr>
            <w:color w:val="2E5B88"/>
            <w:u w:val="single"/>
            <w:rFonts w:eastAsia="Microsoft YaHei" w:ascii="Microsoft YaHei"/>
          </w:rPr>
          <w:t>https://github.com/robusta-dev/robusta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Argo Project, “Argo Rollouts Analysis &amp; Progressive Delivery” (accessed 2026-08-29), </w:t>
      </w:r>
      <w:hyperlink r:id="rId20">
        <w:r>
          <w:rPr>
            <w:color w:val="2E5B88"/>
            <w:u w:val="single"/>
            <w:rFonts w:eastAsia="Microsoft YaHei" w:ascii="Microsoft YaHei"/>
          </w:rPr>
          <w:t>https://argoproj.github.io/argo-rollouts/features/analysis/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OpenTelemetry, “Semantic Conventions 1.44.0” (accessed 2026-08-29), </w:t>
      </w:r>
      <w:hyperlink r:id="rId21">
        <w:r>
          <w:rPr>
            <w:color w:val="2E5B88"/>
            <w:u w:val="single"/>
            <w:rFonts w:eastAsia="Microsoft YaHei" w:ascii="Microsoft YaHei"/>
          </w:rPr>
          <w:t>https://opentelemetry.io/docs/specs/semconv/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METR, “Task-Completion Time Horizons of Frontier AI Models” (2026), </w:t>
      </w:r>
      <w:hyperlink r:id="rId22">
        <w:r>
          <w:rPr>
            <w:color w:val="2E5B88"/>
            <w:u w:val="single"/>
            <w:rFonts w:eastAsia="Microsoft YaHei" w:ascii="Microsoft YaHei"/>
          </w:rPr>
          <w:t>https://evals.alignment.org/time-horizons/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OpenAI, “Introducing the SWE-Lancer benchmark” (2025-02-18; updated 2025-07-28), </w:t>
      </w:r>
      <w:hyperlink r:id="rId23">
        <w:r>
          <w:rPr>
            <w:color w:val="2E5B88"/>
            <w:u w:val="single"/>
            <w:rFonts w:eastAsia="Microsoft YaHei" w:ascii="Microsoft YaHei"/>
          </w:rPr>
          <w:t>https://openai.com/index/swe-lancer/</w:t>
        </w:r>
      </w:hyperlink>
    </w:p>
    <w:p>
      <w:pPr>
        <w:pStyle w:val="ListBullet"/>
        <w:spacing w:after="60"/>
      </w:pPr>
      <w:r>
        <w:rPr>
          <w:rFonts w:ascii="Microsoft YaHei" w:hAnsi="Microsoft YaHei" w:eastAsia="Microsoft YaHei"/>
          <w:sz w:val="19"/>
        </w:rPr>
        <w:t xml:space="preserve">ICSE-SEIP 2026, “What’s in a Benchmark? The Case of SWE-Bench in Automated Program Repair”, </w:t>
      </w:r>
      <w:hyperlink r:id="rId24">
        <w:r>
          <w:rPr>
            <w:color w:val="2E5B88"/>
            <w:u w:val="single"/>
            <w:rFonts w:eastAsia="Microsoft YaHei" w:ascii="Microsoft YaHei"/>
          </w:rPr>
          <w:t>https://doi.org/10.1145/3786583.3786904</w:t>
        </w:r>
      </w:hyperlink>
    </w:p>
    <w:p>
      <w:pPr>
        <w:pStyle w:val="Heading1"/>
      </w:pPr>
      <w:r>
        <w:t>调研限制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本报告基于 Regent 工作区代码与文档审计，以及截至 2026-08-29 可访问的一手文档、开源仓库和研究。尚未对 Regent 生产服务器、客户项目、真实告警数据和单位经济模型进行现场验证；因此商业规模和自动闭环率属于待实验假设。研究在候选方向的关键证据已收敛、继续增加同类工具案例不太可能改变首期方向判断时停止。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6"/>
      </w:rPr>
      <w:t>Deep research · 2026-08-29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667085"/>
        <w:sz w:val="17"/>
      </w:rPr>
      <w:t>REGENT · STRATEGY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B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openhands.dev/sdk/guides/agent-server/overview" TargetMode="External"/><Relationship Id="rId12" Type="http://schemas.openxmlformats.org/officeDocument/2006/relationships/hyperlink" Target="https://github.com/All-Hands-AI/OpenHands/blob/main/openhands/resolver/README.md" TargetMode="External"/><Relationship Id="rId13" Type="http://schemas.openxmlformats.org/officeDocument/2006/relationships/hyperlink" Target="https://github.com/SWE-agent/SWE-ReX" TargetMode="External"/><Relationship Id="rId14" Type="http://schemas.openxmlformats.org/officeDocument/2006/relationships/hyperlink" Target="https://docs.github.com/en/copilot/concepts/agents/about-third-party-coding-agents" TargetMode="External"/><Relationship Id="rId15" Type="http://schemas.openxmlformats.org/officeDocument/2006/relationships/hyperlink" Target="https://openai.com/index/running-codex-safely/" TargetMode="External"/><Relationship Id="rId16" Type="http://schemas.openxmlformats.org/officeDocument/2006/relationships/hyperlink" Target="https://docs.renovatebot.com/" TargetMode="External"/><Relationship Id="rId17" Type="http://schemas.openxmlformats.org/officeDocument/2006/relationships/hyperlink" Target="https://docs.github.com/en/code-security/concepts/supply-chain-security/dependabot-security-updates" TargetMode="External"/><Relationship Id="rId18" Type="http://schemas.openxmlformats.org/officeDocument/2006/relationships/hyperlink" Target="https://docs.sentry.io/product/ai-in-sentry/seer" TargetMode="External"/><Relationship Id="rId19" Type="http://schemas.openxmlformats.org/officeDocument/2006/relationships/hyperlink" Target="https://github.com/robusta-dev/robusta" TargetMode="External"/><Relationship Id="rId20" Type="http://schemas.openxmlformats.org/officeDocument/2006/relationships/hyperlink" Target="https://argoproj.github.io/argo-rollouts/features/analysis/" TargetMode="External"/><Relationship Id="rId21" Type="http://schemas.openxmlformats.org/officeDocument/2006/relationships/hyperlink" Target="https://opentelemetry.io/docs/specs/semconv/" TargetMode="External"/><Relationship Id="rId22" Type="http://schemas.openxmlformats.org/officeDocument/2006/relationships/hyperlink" Target="https://evals.alignment.org/time-horizons/" TargetMode="External"/><Relationship Id="rId23" Type="http://schemas.openxmlformats.org/officeDocument/2006/relationships/hyperlink" Target="https://openai.com/index/swe-lancer/" TargetMode="External"/><Relationship Id="rId24" Type="http://schemas.openxmlformats.org/officeDocument/2006/relationships/hyperlink" Target="https://doi.org/10.1145/3786583.37869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Regent 突破方向深度调研</dc:title>
  <dc:subject>现有实现、开源生态与 AI 可靠性边界</dc:subject>
  <dc:creator>Regent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