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　契約業務内容および報酬内訳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記帳代行報酬：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会計ソフトの入力処理をご依頼の場合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なお、年仕訳数1,201件～＠50にて別途請求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資料預り、打合せ方法：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訪問ありの場合は＠5,000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来所・オンラインはゼロ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来所／オンライン／訪問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月次経理処理頻度：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年4回　＠5,000×12か月、年6回　＠10,000×12か月、年6回超　＠15,000×12か月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年　　　回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事業規模：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年商　　　　万円（年商5,000万円未満は＠0円、5,000万円超から5,000万円ごとに＠5,000）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※5億円超は一律（+50,000円）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　万円想定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報酬支払：口座振替以外＠3,000　※請求書発行を行う場合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振替口座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税務業務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決算報酬：法人 ＠120,000　個人＆NPO 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法人／個人・NPO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消費税申告：＠50,000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申告書控印刷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銀行用申告書印刷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総勘定元帳印刷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NXPRO使用　決算手数料：年間△50,000（ミロクのクラウドアプリを使用している場合）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出精値引き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税理士法第33条の2第1項に規定する書面添付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決算・申告業務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年額のみ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－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給与計算：人数×月＠800×12ヶ月（年＠9,600）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9,600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　勤怠の集計有：人数×月＠400×12ヶ月（年＠4,800）※1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4,800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給与明細印刷有：人数×月＠200×12ヶ月（年＠2,400）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2,400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納税代行手続き（ダイレクト納付）－住民税＠1,000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労働保険・社会保険手続き一式：＠4,000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労働保険の算定基礎届の作成：＠45,000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回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給与計算代行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出勤簿及びタイムカードの預かり（確認業務含む）の場合は、勤怠の管理有となります。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契約期間の中途において消費税率が改正された場合、消費税額は改正後の税率による。</w:t>
      </w:r>
    </w:p>
    <w:p>
      <w:pPr>
        <w:spacing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sectPr>
      <w:pgSz w:w="11906" w:h="16838" w:orient="portrait"/>
      <w:pgMar w:top="90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2026-08-05T00:37:12.577Z</dcterms:created>
  <dcterms:modified xsi:type="dcterms:W3CDTF">2026-08-05T00:37:12.606Z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