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　契約業務内容および報酬内訳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　　　　　　　　　　　　　　　　　　　　　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原契約　　　　　　　年　　　月　　　日付　顧問契約書</w:t>
      </w:r>
    </w:p>
    <w:p>
      <w:pPr>
        <w:spacing w:after="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本契約に基づき乙が受任する業務及び報酬は、下表のとおりとする。「含む」欄に☑を付した業務が本契約に含まれる業務であり、☑を付していない業務は本契約に含まれない。</w:t>
      </w:r>
    </w:p>
    <w:p>
      <w:pPr>
        <w:spacing w:after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560"/>
        <w:gridCol w:w="540"/>
        <w:gridCol w:w="1000"/>
        <w:gridCol w:w="900"/>
        <w:gridCol w:w="1300"/>
        <w:gridCol w:w="1859"/>
      </w:tblGrid>
      <w:tr>
        <w:trPr>
          <w:tblHeader/>
        </w:trP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品　番　・　品　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含む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数量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金額（税抜）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基本月額報酬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記帳代行報酬：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会計ソフトの入力処理をご依頼の場合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なお、年仕訳数1,201件～＠50にて別途請求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資料預り、打合せ方法：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訪問ありの場合は＠5,000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来所・オンラインはゼロ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来所／オンライン／訪問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月次経理処理頻度：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年4回　＠5,000×12か月、年6回　＠10,000×12か月、年6回超　＠15,000×12か月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年　　　回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事業規模：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年商　　　　万円（年商5,000万円未満は＠0円、5,000万円超から5,000万円ごとに＠5,000）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※5億円超は一律（+50,000円）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　万円想定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報酬支払：口座振替以外＠3,000　※請求書発行を行う場合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振替口座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税務業務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月額／年額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給与計算：基本月額報酬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給与計算：人数×月＠800×12ヶ月（年＠9,600）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9,600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　勤怠の集計有：人数×月＠400×12ヶ月（年＠4,800）※1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4,800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給与明細印刷有：人数×月＠200×12ヶ月（年＠2,400）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2,400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納税代行手続き（ダイレクト納付）－住民税＠1,000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労働保険・社会保険手続き一式：＠4,000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労働保険の算定基礎届の作成：＠45,000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回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給与計算代行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月額／年額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決算報酬：法人 ＠120,000　個人＆NPO ＠50,000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法人／個人・NPO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消費税申告：＠50,000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申告書控印刷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銀行用申告書印刷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総勘定元帳印刷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NXPRO使用　決算手数料：年間△50,000（ミロクのクラウドアプリを使用している場合）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△50,000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出精値引き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△　　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税理士法第33条の2第1項に規定する書面添付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決算・申告業務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小　計（税抜）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消費税（10％）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合　計（税込）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出勤簿及びタイムカードの預かり（確認業務含む）の場合は、勤怠の管理有となります。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「含む」欄に☑を付していない業務は、本契約に含まれない。甲が当該業務を希望する場合は、その都度、事前に甲乙が業務内容及び報酬額を合意のうえ実施し、上表の単価により別途請求する。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本別紙は本契約の一部を構成する。本別紙の変更は、甲乙双方の書面又は電磁的方法による合意によらなければ、その効力を生じない。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※4　契約期間の中途において消費税率が改正された場合、消費税額は改正後の税率による。</w:t>
      </w:r>
    </w:p>
    <w:p>
      <w:pPr>
        <w:spacing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sectPr>
      <w:pgSz w:w="11906" w:h="16838" w:orient="portrait"/>
      <w:pgMar w:top="90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Mincho" w:cs="MS Mincho" w:eastAsia="MS Mincho" w:hAnsi="MS Mincho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2026-08-05T00:16:06.191Z</dcterms:created>
  <dcterms:modified xsi:type="dcterms:W3CDTF">2026-08-05T00:16:06.191Z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