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S Mincho" w:cs="MS Mincho" w:eastAsia="MS Mincho" w:hAnsi="MS Mincho"/>
          <w:b/>
          <w:bCs/>
          <w:sz w:val="26"/>
          <w:szCs w:val="26"/>
        </w:rPr>
        <w:t xml:space="preserve">別　紙　１　　契約業務内容および報酬内訳</w:t>
      </w:r>
    </w:p>
    <w:p>
      <w:pPr>
        <w:spacing w:after="140"/>
        <w:jc w:val="center"/>
      </w:pPr>
      <w:r>
        <w:rPr>
          <w:rFonts w:ascii="MS Mincho" w:cs="MS Mincho" w:eastAsia="MS Mincho" w:hAnsi="MS Mincho"/>
          <w:b/>
          <w:bCs/>
          <w:sz w:val="20"/>
          <w:szCs w:val="20"/>
        </w:rPr>
        <w:t xml:space="preserve">（税務顧問業務・決算申告代行業務）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委任者（甲）　　　　　　　　　　　　　　　　　　　　　　　　様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受任者（乙）　税理士法人　福田会計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原契約　　　　　　　年　　　月　　　日付　顧問契約書</w:t>
      </w:r>
    </w:p>
    <w:p>
      <w:pPr>
        <w:spacing w:after="60" w:before="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>本別紙は、甲乙間の顧問契約書（以下「本契約」という。）の一部を構成する。本契約に基づき乙が受任する業務及び報酬は、下表のとおりとする。「含む」欄に☑を付した業務が本契約に含まれる業務であり、☑を付していない業務は本契約に含まれない。</w:t>
      </w:r>
    </w:p>
    <w:p>
      <w:pPr>
        <w:spacing w:after="60" w:before="8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560"/>
        <w:gridCol w:w="540"/>
        <w:gridCol w:w="1000"/>
        <w:gridCol w:w="900"/>
        <w:gridCol w:w="1300"/>
        <w:gridCol w:w="1859"/>
      </w:tblGrid>
      <w:tr>
        <w:trPr>
          <w:tblHeader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品　番　・　品　名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含む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数量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単価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金額（税抜）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備考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税務監査、税務相談業務：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基本月額報酬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10,000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記帳代行報酬：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会計ソフトの入力処理をご依頼の場合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ケ月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なお、年仕訳数1,201件～＠50にて別途請求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資料預り、打合せ方法：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訪問ありの場合は＠5,000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来所・オンラインはゼロ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ケ月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来所／オンライン／訪問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月次経理処理頻度：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年4回　＠5,000×12か月、年6回　＠10,000×12か月、年6回超　＠15,000×12か月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ケ月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年　　　回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事業規模：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年商　　　　万円（年商5,000万円未満は＠0円、5,000万円超から5,000万円ごとに＠5,000）</w:t>
            </w:r>
          </w:p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※5億円超は一律（+50,000円）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　　万円想定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報酬支払：口座振替以外＠3,000　※請求書発行を行う場合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ケ月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利用銀行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税務業務　小計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月額／年額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決算報酬：法人 ＠120,000　個人＆NPO ＠50,000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　事業年度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法人／個人・NPO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消費税申告：＠50,000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　事業年度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50,000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申告書控印刷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　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30,000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銀行用申告書印刷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　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総勘定元帳印刷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　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30,000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NXPRO使用　決算手数料：年間△50,000（ミロクのクラウドアプリを使用している場合）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事業年度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△50,000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出精値引き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事業年度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△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税理士法第33条の2第1項に規定する書面添付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　事業年度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30,000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決算・申告代行業務　小計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年額のみ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－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8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小　計（税抜）　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8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消費税（10％）　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8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お値引き（税込）　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8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合　計（税込）　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￥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/>
      </w:pPr>
      <w:r>
        <w:rPr>
          <w:rFonts w:ascii="MS Mincho" w:cs="MS Mincho" w:eastAsia="MS Mincho" w:hAnsi="MS Mincho"/>
          <w:b/>
          <w:bCs/>
          <w:sz w:val="18"/>
          <w:szCs w:val="18"/>
        </w:rPr>
        <w:t xml:space="preserve">【注記】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※1　「含む」欄に☑を付していない業務は、本契約に含まれない。甲が当該業務を希望する場合は、その都度、事前に甲乙が業務内容及び報酬額を合意のうえ実施し、上表の単価により別途請求する。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※2　上表に掲げのない業務のうち、年末調整代行、支払調書の作成代行、償却資産税申告書の作成代行その他の業務の報酬は、別紙2のとおりとする。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※3　本別紙は本契約の一部を構成する。本別紙の変更は、甲乙双方の書面又は電磁的方法による合意によらなければ、その効力を生じない。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※4　契約期間の中途において消費税率が改正された場合、消費税額は改正後の税率による。</w:t>
      </w:r>
    </w:p>
    <w:p>
      <w:pPr>
        <w:spacing w:after="60" w:before="16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righ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以　上</w:t>
      </w:r>
    </w:p>
    <w:p>
      <w:r>
        <w:br w:type="page"/>
      </w:r>
    </w:p>
    <w:p>
      <w:pPr>
        <w:spacing w:after="40"/>
        <w:jc w:val="center"/>
      </w:pPr>
      <w:r>
        <w:rPr>
          <w:rFonts w:ascii="MS Mincho" w:cs="MS Mincho" w:eastAsia="MS Mincho" w:hAnsi="MS Mincho"/>
          <w:b/>
          <w:bCs/>
          <w:sz w:val="26"/>
          <w:szCs w:val="26"/>
        </w:rPr>
        <w:t xml:space="preserve">別　紙　２　　その他業務の報酬</w:t>
      </w:r>
    </w:p>
    <w:p>
      <w:pPr>
        <w:spacing w:after="140"/>
        <w:jc w:val="center"/>
      </w:pPr>
      <w:r>
        <w:rPr>
          <w:rFonts w:ascii="MS Mincho" w:cs="MS Mincho" w:eastAsia="MS Mincho" w:hAnsi="MS Mincho"/>
          <w:b/>
          <w:bCs/>
          <w:sz w:val="20"/>
          <w:szCs w:val="20"/>
        </w:rPr>
        <w:t xml:space="preserve">（年末調整代行業務・償却資産申告業務ほか料金表）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委任者（甲）　　　　　　　　　　　　　　　　　　　　　　　　様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受任者（乙）　税理士法人　福田会計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原契約　　　　　　　年　　　月　　　日付　顧問契約書</w:t>
      </w:r>
    </w:p>
    <w:p>
      <w:pPr>
        <w:spacing w:after="60" w:before="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>本別紙は、甲乙間の顧問契約書（以下「本契約」という。）の一部を構成する。下表の業務は別紙1及び別紙3の月額報酬に含まれない。甲が委任を希望する場合は、その都度、事前に甲乙が業務内容を合意のうえ実施し、下表の報酬額により別途請求する。</w:t>
      </w:r>
    </w:p>
    <w:p>
      <w:pPr>
        <w:spacing w:after="60" w:before="8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639"/>
      </w:tblGrid>
      <w:tr>
        <w:trPr>
          <w:tblHeader/>
        </w:trP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項　目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単　位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報酬額（税抜）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１　年末調整代行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基本料金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1企業あたり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￥10,000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従業員人数　10人まで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1人あたり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￥2,000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従業員人数　11人から30人まで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1人あたり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￥5,000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従業員人数　30人超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別途見積り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２　支払調書の作成代行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所得税法第204条第1項報酬　※3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1件あたり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￥1,500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３　償却資産税申告書の作成代行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提出自治体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一自治体あたり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￥10,000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４　税務調査立会料及び修正申告書作成料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税務調査立会料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1日1人あたり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￥30,000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修正申告書作成料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1税目1事業年度あたり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￥30,000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５　株式評価（個別お見積もり）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初回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1回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￥100,000～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2回目以降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1回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￥50,000～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６　所得税・贈与税申告書の作成代行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〈所得税〉確定申告書　第1表・第2表（基本料金）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1件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￥20,000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〈所得税〉収支内訳書　又は　青色申告決算書（損益計算書のみ）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1件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￥30,000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〈所得税〉青色申告決算書（貸借対照表あり）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―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別紙１に含む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〈所得税〉消費税申告書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1件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￥30,000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〈所得税〉その他の付表・明細（株式譲渡明細を含む）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1種類につき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￥10,000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〈所得税〉土地・建物の譲渡所得の申告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1事業年度あたり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￥100,000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〈所得税〉給与所得以外の所得の収入金額が300万円以下の場合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1件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△￥10,000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〈贈与税〉贈与税申告書の作成・贈与契約書の作成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贈与者・受贈者1組につき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￥10,000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７　税額控除に係る報酬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法人税額の特別控除額に対する報酬　※4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1事業年度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特別控除額×5％</w:t>
            </w:r>
          </w:p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（上限 ￥500,000／事業年度）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８　試算表の提出頻度又は訪問の追加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別紙1の項目3及び項目4で合意した頻度・方法を超える場合　※5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都度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別紙1の当該項目の単価による</w:t>
            </w:r>
          </w:p>
        </w:tc>
      </w:tr>
      <w:tr>
        <w:tc>
          <w:tcPr>
            <w:tcW w:type="dxa" w:w="9639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９　記帳代行（仕訳数の超過分）</w:t>
            </w:r>
          </w:p>
        </w:tc>
      </w:tr>
      <w:tr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別紙1に記載の年仕訳数が1,201件を超過した場合の超過分　※6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1仕訳あたり</w:t>
            </w:r>
          </w:p>
        </w:tc>
        <w:tc>
          <w:tcPr>
            <w:tcW w:type="dxa" w:w="26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￥50</w:t>
            </w:r>
          </w:p>
        </w:tc>
      </w:tr>
    </w:tbl>
    <w:p>
      <w:pPr>
        <w:spacing w:after="40" w:before="140"/>
      </w:pPr>
      <w:r>
        <w:rPr>
          <w:rFonts w:ascii="MS Mincho" w:cs="MS Mincho" w:eastAsia="MS Mincho" w:hAnsi="MS Mincho"/>
          <w:b/>
          <w:bCs/>
          <w:sz w:val="18"/>
          <w:szCs w:val="18"/>
        </w:rPr>
        <w:t xml:space="preserve">【注記】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※1　年末調整を行わず、法定調書合計表の作成のみを行う場合の報酬は、￥10,000とする。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※2　償却資産税申告書について、該当する資産がない場合は請求しない。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※3　所得税法第204条第1項報酬とは、弁護士・税理士・デザイナー等の一定の職業に該当する者への支払について、支払者が源泉徴収を要する報酬・料金をいう。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※4　税額控除に係る報酬は、法人税申告書別表一「法人税額の特別控除額の合計を記載する欄」の金額に5％を乗じた額とし、1事業年度あたり￥500,000（税抜）を上限とする。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※5　試算表の提出頻度及び資料の預り・打合せの方法について、別紙1の項目3及び項目4で合意した頻度・方法を超えて実施する場合は、別紙1の当該項目の単価により算定し、その都度、事前に甲乙が合意する。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※6　記帳代行の仕訳数超過分の報酬は、当該事業年度の仕訳数が確定した後、決算時に一括して請求する。このため、別紙1には金額を記載しない。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※7　本別紙に掲げのない業務を甲が委任する場合は、その都度、事前に甲乙が業務内容及び報酬額を合意のうえ実施する。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※8　契約期間の中途において消費税率が改正された場合、消費税額は改正後の税率による。</w:t>
      </w:r>
    </w:p>
    <w:p>
      <w:pPr>
        <w:spacing w:after="60" w:before="16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righ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以　上</w:t>
      </w:r>
    </w:p>
    <w:p>
      <w:r>
        <w:br w:type="page"/>
      </w:r>
    </w:p>
    <w:p>
      <w:pPr>
        <w:spacing w:after="40"/>
        <w:jc w:val="center"/>
      </w:pPr>
      <w:r>
        <w:rPr>
          <w:rFonts w:ascii="MS Mincho" w:cs="MS Mincho" w:eastAsia="MS Mincho" w:hAnsi="MS Mincho"/>
          <w:b/>
          <w:bCs/>
          <w:sz w:val="26"/>
          <w:szCs w:val="26"/>
        </w:rPr>
        <w:t xml:space="preserve">別　紙　３　　契約業務内容および報酬内訳</w:t>
      </w:r>
    </w:p>
    <w:p>
      <w:pPr>
        <w:spacing w:after="140"/>
        <w:jc w:val="center"/>
      </w:pPr>
      <w:r>
        <w:rPr>
          <w:rFonts w:ascii="MS Mincho" w:cs="MS Mincho" w:eastAsia="MS Mincho" w:hAnsi="MS Mincho"/>
          <w:b/>
          <w:bCs/>
          <w:sz w:val="20"/>
          <w:szCs w:val="20"/>
        </w:rPr>
        <w:t xml:space="preserve">（給与計算代行業務）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委任者（甲）　　　　　　　　　　　　　　　　　　　　　　　　様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受任者（乙）　税理士法人　福田会計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原契約　　　　　　　年　　　月　　　日付　顧問契約書</w:t>
      </w:r>
    </w:p>
    <w:p>
      <w:pPr>
        <w:spacing w:after="60" w:before="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>本別紙は、甲乙間の顧問契約書（以下「本契約」という。）の一部を構成する。本契約に基づき乙が受任する業務及び報酬は、下表のとおりとする。「含む」欄に☑を付した業務が本契約に含まれる業務であり、☑を付していない業務は本契約に含まれない。</w:t>
      </w:r>
    </w:p>
    <w:p>
      <w:pPr>
        <w:spacing w:after="60" w:before="8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560"/>
        <w:gridCol w:w="540"/>
        <w:gridCol w:w="1000"/>
        <w:gridCol w:w="900"/>
        <w:gridCol w:w="1300"/>
        <w:gridCol w:w="1859"/>
      </w:tblGrid>
      <w:tr>
        <w:trPr>
          <w:tblHeader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品　番　・　品　名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含む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数量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単価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金額（税抜）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備考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給与計算：基本月額報酬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給与計算：人数×月＠800×12ヶ月（年＠9,600）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　人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9,600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給与計算　勤怠の集計有：人数×月＠400×12ヶ月（年＠4,800）※1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　人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4,800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給与明細印刷有：人数×月＠200×12ヶ月（年＠2,400）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　　　人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2,400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納税代行手続き（ダイレクト納付）－住民税＠1,000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労働保険・社会保険手続き一式：＠4,000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12　ヶ月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労働保険の算定基礎届の作成：＠45,000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☐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1　回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>45,000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給与計算代行　小計</w:t>
            </w:r>
          </w:p>
        </w:tc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>月額／年額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8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小　計（税抜）　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8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消費税（10％）　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>￥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48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righ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合　計（税込）　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/>
                <w:bCs/>
                <w:sz w:val="17"/>
                <w:szCs w:val="17"/>
              </w:rPr>
              <w:t xml:space="preserve">￥</w:t>
            </w:r>
          </w:p>
        </w:tc>
        <w:tc>
          <w:tcPr>
            <w:tcW w:type="dxa" w:w="18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6E6E6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center"/>
          </w:tcPr>
          <w:p>
            <w:pPr>
              <w:spacing w:after="20" w:before="20" w:line="215"/>
              <w:jc w:val="left"/>
            </w:pPr>
            <w:r>
              <w:rPr>
                <w:rFonts w:ascii="MS Mincho" w:cs="MS Mincho" w:eastAsia="MS Mincho" w:hAnsi="MS Minch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40"/>
      </w:pPr>
      <w:r>
        <w:rPr>
          <w:rFonts w:ascii="MS Mincho" w:cs="MS Mincho" w:eastAsia="MS Mincho" w:hAnsi="MS Mincho"/>
          <w:b/>
          <w:bCs/>
          <w:sz w:val="18"/>
          <w:szCs w:val="18"/>
        </w:rPr>
        <w:t xml:space="preserve">【注記】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※1　出勤簿及びタイムカードの預かり（確認業務含む）の場合は、勤怠の管理有となります。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※2　「含む」欄に☑を付していない業務は、本契約に含まれない。甲が当該業務を希望する場合は、その都度、事前に甲乙が業務内容及び報酬額を合意のうえ実施し、上表の単価により別途請求する。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※3　上表に掲げのない業務のうち、年末調整代行、支払調書の作成代行、償却資産税申告書の作成代行その他の業務の報酬は、別紙2のとおりとする。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※4　本別紙は本契約の一部を構成する。本別紙の変更は、甲乙双方の書面又は電磁的方法による合意によらなければ、その効力を生じない。</w:t>
      </w:r>
    </w:p>
    <w:p>
      <w:pPr>
        <w:spacing w:after="20" w:before="20" w:line="215"/>
        <w:jc w:val="left"/>
      </w:pPr>
      <w:r>
        <w:rPr>
          <w:rFonts w:ascii="MS Mincho" w:cs="MS Mincho" w:eastAsia="MS Mincho" w:hAnsi="MS Mincho"/>
          <w:b w:val="false"/>
          <w:bCs w:val="false"/>
          <w:sz w:val="16"/>
          <w:szCs w:val="16"/>
        </w:rPr>
        <w:t xml:space="preserve">※5　契約期間の中途において消費税率が改正された場合、消費税額は改正後の税率による。</w:t>
      </w:r>
    </w:p>
    <w:p>
      <w:pPr>
        <w:spacing w:after="60" w:before="160"/>
      </w:pPr>
      <w:r>
        <w:rPr>
          <w:rFonts w:ascii="MS Mincho" w:cs="MS Mincho" w:eastAsia="MS Mincho" w:hAnsi="MS Mincho"/>
          <w:b w:val="false"/>
          <w:bCs w:val="false"/>
          <w:sz w:val="17"/>
          <w:szCs w:val="17"/>
        </w:rPr>
        <w:t xml:space="preserve"/>
      </w:r>
    </w:p>
    <w:p>
      <w:pPr>
        <w:spacing w:after="20" w:before="20" w:line="215"/>
        <w:jc w:val="right"/>
      </w:pPr>
      <w:r>
        <w:rPr>
          <w:rFonts w:ascii="MS Mincho" w:cs="MS Mincho" w:eastAsia="MS Mincho" w:hAnsi="MS Mincho"/>
          <w:b w:val="false"/>
          <w:bCs w:val="false"/>
          <w:sz w:val="18"/>
          <w:szCs w:val="18"/>
        </w:rPr>
        <w:t xml:space="preserve">以　上</w:t>
      </w:r>
    </w:p>
    <w:sectPr>
      <w:pgSz w:w="11906" w:h="16838" w:orient="portrait"/>
      <w:pgMar w:top="90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2026-08-05T07:56:11.727Z</dcterms:created>
  <dcterms:modified xsi:type="dcterms:W3CDTF">2026-08-05T07:56:11.728Z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