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年　　　月　　　日付　顧問契約書</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なお、1事業年度1,200仕訳を超える部分は＠50にて別途請求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来所／オンライン／訪問</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万円想定</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利用銀行</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法人／個人・NPO</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※4　契約期間の中途において消費税率が改正された場合、消費税額は改正後の税率による。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年　　　月　　　日付　顧問契約書</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９　記帳代行（仕訳数の超過分）</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1事業年度あたり1,200仕訳を超過した場合の超過分　※6</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1仕訳あたり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税額控除に係る報酬は、法人税申告書別表一「法人税額の特別控除額の合計を記載する欄」の金額に5％を乗じた額とし、1事業年度あたり￥500,000（税抜）を上限とする。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記帳代行の仕訳数超過分の報酬は、当該事業年度の仕訳数が確定した後、決算時に一括して請求する。このため、別紙1には金額を記載しない。仕訳数は、会計ソフトに記録された仕訳の件数により算定する。ただし、取消、赤伝、再生成その他システム上の理由により重複して記録された仕訳、及び会計ソフトの仕様により自動的に生成される決算振替仕訳その他乙の判断を要しない仕訳は、算入しない。</w:t>
      </w:r>
    </w:p>
    <w:p>
      <w:pPr>
        <w:spacing w:after="20" w:before="20" w:line="215"/>
        <w:jc w:val="left"/>
      </w:pPr>
      <w:r>
        <w:rPr>
          <w:rFonts w:ascii="MS Mincho" w:cs="MS Mincho" w:eastAsia="MS Mincho" w:hAnsi="MS Mincho"/>
          <w:b w:val="false"/>
          <w:bCs w:val="false"/>
          <w:sz w:val="16"/>
          <w:szCs w:val="16"/>
        </w:rPr>
        <w:t xml:space="preserve">※7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年　　　月　　　日付　顧問契約書</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※3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※4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※5　契約期間の中途において消費税率が改正された場合、消費税額は改正後の税率による。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2026-08-18T23:32:35.722Z</dcterms:created>
  <dcterms:modified xsi:type="dcterms:W3CDTF">2026-08-18T23:32:35.734Z</dcterms:modified>
</cp:coreProperties>
</file>

<file path=docProps/custom.xml><?xml version="1.0" encoding="utf-8"?>
<Properties xmlns="http://schemas.openxmlformats.org/officeDocument/2006/custom-properties" xmlns:vt="http://schemas.openxmlformats.org/officeDocument/2006/docPropsVTypes"/>
</file>