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upplementary-material"/>
    <w:p>
      <w:pPr>
        <w:pStyle w:val="Heading1"/>
      </w:pPr>
      <w:r>
        <w:t xml:space="preserve">Supplementary material</w:t>
      </w:r>
    </w:p>
    <w:bookmarkStart w:id="9" w:name="X005782824f3957e0c6922e4bab05b48b4ebcfb2"/>
    <w:p>
      <w:pPr>
        <w:pStyle w:val="Heading2"/>
      </w:pPr>
      <w:r>
        <w:t xml:space="preserve">Supplementary Table 1. Per-dataset and meta-analytic patient-vs-control differential expression for</w:t>
      </w:r>
      <w:r>
        <w:t xml:space="preserve"> </w:t>
      </w:r>
      <w:r>
        <w:rPr>
          <w:i/>
          <w:iCs/>
        </w:rPr>
        <w:t xml:space="preserve">IDI2-AS1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IL5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log₂FC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</w:t>
            </w:r>
            <w:r>
              <w:t xml:space="preserve">adj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IDI2-AS1</w:t>
            </w:r>
          </w:p>
        </w:tc>
        <w:tc>
          <w:tcPr/>
          <w:p>
            <w:pPr>
              <w:pStyle w:val="Compact"/>
            </w:pPr>
            <w:r>
              <w:t xml:space="preserve">Asthma</w:t>
            </w:r>
          </w:p>
        </w:tc>
        <w:tc>
          <w:tcPr/>
          <w:p>
            <w:pPr>
              <w:pStyle w:val="Compact"/>
            </w:pPr>
            <w:r>
              <w:t xml:space="preserve">GSE152004</w:t>
            </w:r>
          </w:p>
        </w:tc>
        <w:tc>
          <w:tcPr/>
          <w:p>
            <w:pPr>
              <w:pStyle w:val="Compact"/>
            </w:pPr>
            <w:r>
              <w:t xml:space="preserve">DESeq2 + apeglm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Atopic dermatitis</w:t>
            </w:r>
          </w:p>
        </w:tc>
        <w:tc>
          <w:tcPr/>
          <w:p>
            <w:pPr>
              <w:pStyle w:val="Compact"/>
            </w:pPr>
            <w:r>
              <w:t xml:space="preserve">GSE121212</w:t>
            </w:r>
          </w:p>
        </w:tc>
        <w:tc>
          <w:tcPr/>
          <w:p>
            <w:pPr>
              <w:pStyle w:val="Compact"/>
            </w:pPr>
            <w:r>
              <w:t xml:space="preserve">DESeq2 + apeglm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Eos. esophagitis</w:t>
            </w:r>
          </w:p>
        </w:tc>
        <w:tc>
          <w:tcPr/>
          <w:p>
            <w:pPr>
              <w:pStyle w:val="Compact"/>
            </w:pPr>
            <w:r>
              <w:t xml:space="preserve">GSE246323</w:t>
            </w:r>
          </w:p>
        </w:tc>
        <w:tc>
          <w:tcPr/>
          <w:p>
            <w:pPr>
              <w:pStyle w:val="Compact"/>
            </w:pPr>
            <w:r>
              <w:t xml:space="preserve">DESeq2 + apeglm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Eos. esophagitis</w:t>
            </w:r>
          </w:p>
        </w:tc>
        <w:tc>
          <w:tcPr/>
          <w:p>
            <w:pPr>
              <w:pStyle w:val="Compact"/>
            </w:pPr>
            <w:r>
              <w:t xml:space="preserve">GSE58640</w:t>
            </w:r>
          </w:p>
        </w:tc>
        <w:tc>
          <w:tcPr/>
          <w:p>
            <w:pPr>
              <w:pStyle w:val="Compact"/>
            </w:pPr>
            <w:r>
              <w:t xml:space="preserve">limma-trend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CRSwNP</w:t>
            </w:r>
          </w:p>
        </w:tc>
        <w:tc>
          <w:tcPr/>
          <w:p>
            <w:pPr>
              <w:pStyle w:val="Compact"/>
            </w:pPr>
            <w:r>
              <w:t xml:space="preserve">GSE136825</w:t>
            </w:r>
          </w:p>
        </w:tc>
        <w:tc>
          <w:tcPr/>
          <w:p>
            <w:pPr>
              <w:pStyle w:val="Compact"/>
            </w:pPr>
            <w:r>
              <w:t xml:space="preserve">DESeq2 + apeglm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−2.8 × 10⁻⁶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Meta-analysis (k = 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+5.1 × 10⁻⁵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[−0.005, +0.005]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Heterogeneity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I</w:t>
            </w:r>
            <w:r>
              <w:t xml:space="preserve">² = 0.26 %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Q</w:t>
            </w:r>
            <w:r>
              <w:t xml:space="preserve"> </w:t>
            </w:r>
            <w:r>
              <w:t xml:space="preserve">p = 0.47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IL5</w:t>
            </w:r>
          </w:p>
        </w:tc>
        <w:tc>
          <w:tcPr/>
          <w:p>
            <w:pPr>
              <w:pStyle w:val="Compact"/>
            </w:pPr>
            <w:r>
              <w:t xml:space="preserve">Asthma</w:t>
            </w:r>
          </w:p>
        </w:tc>
        <w:tc>
          <w:tcPr/>
          <w:p>
            <w:pPr>
              <w:pStyle w:val="Compact"/>
            </w:pPr>
            <w:r>
              <w:t xml:space="preserve">GSE152004</w:t>
            </w:r>
          </w:p>
        </w:tc>
        <w:tc>
          <w:tcPr/>
          <w:p>
            <w:pPr>
              <w:pStyle w:val="Compact"/>
            </w:pPr>
            <w:r>
              <w:t xml:space="preserve">DESeq2 + apeglm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+0.424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Atopic dermatitis</w:t>
            </w:r>
          </w:p>
        </w:tc>
        <w:tc>
          <w:tcPr/>
          <w:p>
            <w:pPr>
              <w:pStyle w:val="Compact"/>
            </w:pPr>
            <w:r>
              <w:t xml:space="preserve">GSE121212</w:t>
            </w:r>
          </w:p>
        </w:tc>
        <w:tc>
          <w:tcPr/>
          <w:p>
            <w:pPr>
              <w:pStyle w:val="Compact"/>
            </w:pPr>
            <w:r>
              <w:t xml:space="preserve">DESeq2 + apeglm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Eos. esophagitis</w:t>
            </w:r>
          </w:p>
        </w:tc>
        <w:tc>
          <w:tcPr/>
          <w:p>
            <w:pPr>
              <w:pStyle w:val="Compact"/>
            </w:pPr>
            <w:r>
              <w:t xml:space="preserve">GSE58640</w:t>
            </w:r>
          </w:p>
        </w:tc>
        <w:tc>
          <w:tcPr/>
          <w:p>
            <w:pPr>
              <w:pStyle w:val="Compact"/>
            </w:pPr>
            <w:r>
              <w:t xml:space="preserve">limma-trend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+0.609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CRSwNP</w:t>
            </w:r>
          </w:p>
        </w:tc>
        <w:tc>
          <w:tcPr/>
          <w:p>
            <w:pPr>
              <w:pStyle w:val="Compact"/>
            </w:pPr>
            <w:r>
              <w:t xml:space="preserve">GSE136825</w:t>
            </w:r>
          </w:p>
        </w:tc>
        <w:tc>
          <w:tcPr/>
          <w:p>
            <w:pPr>
              <w:pStyle w:val="Compact"/>
            </w:pPr>
            <w:r>
              <w:t xml:space="preserve">DESeq2 + apeglm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+1.0 × 10⁻⁶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Meta-analysis (k = 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[−0.148, +0.580]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Heterogeneity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I</w:t>
            </w:r>
            <w:r>
              <w:t xml:space="preserve">² = 82.0 %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Q</w:t>
            </w:r>
            <w:r>
              <w:t xml:space="preserve"> </w:t>
            </w:r>
            <w:r>
              <w:t xml:space="preserve">p = 3.3 × 10⁻⁴</w:t>
            </w:r>
          </w:p>
        </w:tc>
      </w:tr>
    </w:tbl>
    <w:p>
      <w:pPr>
        <w:pStyle w:val="BodyText"/>
      </w:pPr>
      <w:r>
        <w:rPr>
          <w:i/>
          <w:iCs/>
        </w:rPr>
        <w:t xml:space="preserve">IL5 was below the rowSum ≥ 10 count threshold in GSE246323 and is therefore not included in that cohort’s IL5 rows or in the IL5 meta-analysis (k = 4). p-values are Benjamini–Hochberg adjusted.</w:t>
      </w:r>
    </w:p>
    <w:p>
      <w:r>
        <w:pict>
          <v:rect style="width:0;height:1.5pt" o:hralign="center" o:hrstd="t" o:hr="t"/>
        </w:pict>
      </w:r>
    </w:p>
    <w:bookmarkEnd w:id="9"/>
    <w:bookmarkStart w:id="10" w:name="X7e3a6bdb4fb7926aea11b63c3e51492afe11857"/>
    <w:p>
      <w:pPr>
        <w:pStyle w:val="Heading2"/>
      </w:pPr>
      <w:r>
        <w:t xml:space="preserve">Supplementary Figure 1.</w:t>
      </w:r>
      <w:r>
        <w:t xml:space="preserve"> </w:t>
      </w:r>
      <w:r>
        <w:rPr>
          <w:i/>
          <w:iCs/>
        </w:rPr>
        <w:t xml:space="preserve">IDI2-AS1</w:t>
      </w:r>
      <w:r>
        <w:t xml:space="preserve"> </w:t>
      </w:r>
      <w:r>
        <w:t xml:space="preserve">vs Th2 / type-2 marker signature per cohort</w:t>
      </w:r>
    </w:p>
    <w:p>
      <w:pPr>
        <w:pStyle w:val="FirstParagraph"/>
      </w:pPr>
      <w:r>
        <w:t xml:space="preserve">Per-sample</w:t>
      </w:r>
      <w:r>
        <w:t xml:space="preserve"> </w:t>
      </w:r>
      <w:r>
        <w:rPr>
          <w:i/>
          <w:iCs/>
        </w:rPr>
        <w:t xml:space="preserve">IDI2-AS1</w:t>
      </w:r>
      <w:r>
        <w:t xml:space="preserve"> </w:t>
      </w:r>
      <w:r>
        <w:t xml:space="preserve">(x-axis) vs Th2 / type-2 marker-signature score (y-axis, mean</w:t>
      </w:r>
      <w:r>
        <w:t xml:space="preserve"> </w:t>
      </w:r>
      <w:r>
        <w:rPr>
          <w:i/>
          <w:iCs/>
        </w:rPr>
        <w:t xml:space="preserve">z</w:t>
      </w:r>
      <w:r>
        <w:t xml:space="preserve">-score across</w:t>
      </w:r>
      <w:r>
        <w:t xml:space="preserve"> </w:t>
      </w:r>
      <w:r>
        <w:rPr>
          <w:i/>
          <w:iCs/>
        </w:rPr>
        <w:t xml:space="preserve">GATA3</w:t>
      </w:r>
      <w:r>
        <w:t xml:space="preserve">,</w:t>
      </w:r>
      <w:r>
        <w:t xml:space="preserve"> </w:t>
      </w:r>
      <w:r>
        <w:rPr>
          <w:i/>
          <w:iCs/>
        </w:rPr>
        <w:t xml:space="preserve">IL4R</w:t>
      </w:r>
      <w:r>
        <w:t xml:space="preserve">,</w:t>
      </w:r>
      <w:r>
        <w:t xml:space="preserve"> </w:t>
      </w:r>
      <w:r>
        <w:rPr>
          <w:i/>
          <w:iCs/>
        </w:rPr>
        <w:t xml:space="preserve">CCR4</w:t>
      </w:r>
      <w:r>
        <w:t xml:space="preserve">,</w:t>
      </w:r>
      <w:r>
        <w:t xml:space="preserve"> </w:t>
      </w:r>
      <w:r>
        <w:rPr>
          <w:i/>
          <w:iCs/>
        </w:rPr>
        <w:t xml:space="preserve">PTGDR2</w:t>
      </w:r>
      <w:r>
        <w:t xml:space="preserve">,</w:t>
      </w:r>
      <w:r>
        <w:t xml:space="preserve"> </w:t>
      </w:r>
      <w:r>
        <w:rPr>
          <w:i/>
          <w:iCs/>
        </w:rPr>
        <w:t xml:space="preserve">IL13</w:t>
      </w:r>
      <w:r>
        <w:t xml:space="preserve">,</w:t>
      </w:r>
      <w:r>
        <w:t xml:space="preserve"> </w:t>
      </w:r>
      <w:r>
        <w:rPr>
          <w:i/>
          <w:iCs/>
        </w:rPr>
        <w:t xml:space="preserve">IL17RB</w:t>
      </w:r>
      <w:r>
        <w:t xml:space="preserve">) in each of the five cohorts. Signatures are standardized within each cohort. This panel complements Fig. 4B (eosinophil signature) and shows the cohort-by-cohort relationship between</w:t>
      </w:r>
      <w:r>
        <w:t xml:space="preserve"> </w:t>
      </w:r>
      <w:r>
        <w:rPr>
          <w:i/>
          <w:iCs/>
        </w:rPr>
        <w:t xml:space="preserve">IDI2-AS1</w:t>
      </w:r>
      <w:r>
        <w:t xml:space="preserve"> </w:t>
      </w:r>
      <w:r>
        <w:t xml:space="preserve">and the broader type-2 effector compartment.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2026-06-17T06:37:23Z</dcterms:created>
  <dcterms:modified xsi:type="dcterms:W3CDTF">2026-06-17T06:37:23Z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