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ables"/>
    <w:p>
      <w:pPr>
        <w:pStyle w:val="Heading1"/>
      </w:pPr>
      <w:r>
        <w:t xml:space="preserve">Tables</w:t>
      </w:r>
    </w:p>
    <w:bookmarkStart w:id="9" w:name="X76042101de12d831e32cbcacfed069920bb1cb3"/>
    <w:p>
      <w:pPr>
        <w:pStyle w:val="Heading2"/>
      </w:pPr>
      <w:r>
        <w:t xml:space="preserve">Table 1. Public bulk RNA-seq cohorts re-analyzed in this study</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Disease</w:t>
            </w:r>
          </w:p>
        </w:tc>
        <w:tc>
          <w:tcPr/>
          <w:p>
            <w:pPr>
              <w:pStyle w:val="Compact"/>
            </w:pPr>
            <w:r>
              <w:t xml:space="preserve">GEO accession</w:t>
            </w:r>
          </w:p>
        </w:tc>
        <w:tc>
          <w:tcPr/>
          <w:p>
            <w:pPr>
              <w:pStyle w:val="Compact"/>
            </w:pPr>
            <w:r>
              <w:t xml:space="preserve">Tissue</w:t>
            </w:r>
          </w:p>
        </w:tc>
        <w:tc>
          <w:tcPr/>
          <w:p>
            <w:pPr>
              <w:pStyle w:val="Compact"/>
              <w:jc w:val="center"/>
            </w:pPr>
            <w:r>
              <w:t xml:space="preserve">Patients (n)</w:t>
            </w:r>
          </w:p>
        </w:tc>
        <w:tc>
          <w:tcPr/>
          <w:p>
            <w:pPr>
              <w:pStyle w:val="Compact"/>
              <w:jc w:val="center"/>
            </w:pPr>
            <w:r>
              <w:t xml:space="preserve">Controls (n)</w:t>
            </w:r>
          </w:p>
        </w:tc>
        <w:tc>
          <w:tcPr/>
          <w:p>
            <w:pPr>
              <w:pStyle w:val="Compact"/>
              <w:jc w:val="center"/>
            </w:pPr>
            <w:r>
              <w:t xml:space="preserve">Total</w:t>
            </w:r>
          </w:p>
        </w:tc>
        <w:tc>
          <w:tcPr/>
          <w:p>
            <w:pPr>
              <w:pStyle w:val="Compact"/>
            </w:pPr>
            <w:r>
              <w:t xml:space="preserve">Platform</w:t>
            </w:r>
          </w:p>
        </w:tc>
        <w:tc>
          <w:tcPr/>
          <w:p>
            <w:pPr>
              <w:pStyle w:val="Compact"/>
            </w:pPr>
            <w:r>
              <w:t xml:space="preserve">Quantification</w:t>
            </w:r>
          </w:p>
        </w:tc>
        <w:tc>
          <w:tcPr/>
          <w:p>
            <w:pPr>
              <w:pStyle w:val="Compact"/>
            </w:pPr>
            <w:r>
              <w:t xml:space="preserve">Reference</w:t>
            </w:r>
          </w:p>
        </w:tc>
      </w:tr>
      <w:tr>
        <w:tc>
          <w:tcPr/>
          <w:p>
            <w:pPr>
              <w:pStyle w:val="Compact"/>
            </w:pPr>
            <w:r>
              <w:t xml:space="preserve">Asthma</w:t>
            </w:r>
          </w:p>
        </w:tc>
        <w:tc>
          <w:tcPr/>
          <w:p>
            <w:pPr>
              <w:pStyle w:val="Compact"/>
            </w:pPr>
            <w:r>
              <w:t xml:space="preserve">GSE152004</w:t>
            </w:r>
          </w:p>
        </w:tc>
        <w:tc>
          <w:tcPr/>
          <w:p>
            <w:pPr>
              <w:pStyle w:val="Compact"/>
            </w:pPr>
            <w:r>
              <w:t xml:space="preserve">Nasal epithelium (brushing)</w:t>
            </w:r>
          </w:p>
        </w:tc>
        <w:tc>
          <w:tcPr/>
          <w:p>
            <w:pPr>
              <w:pStyle w:val="Compact"/>
              <w:jc w:val="center"/>
            </w:pPr>
            <w:r>
              <w:t xml:space="preserve">388</w:t>
            </w:r>
          </w:p>
        </w:tc>
        <w:tc>
          <w:tcPr/>
          <w:p>
            <w:pPr>
              <w:pStyle w:val="Compact"/>
              <w:jc w:val="center"/>
            </w:pPr>
            <w:r>
              <w:t xml:space="preserve">307</w:t>
            </w:r>
          </w:p>
        </w:tc>
        <w:tc>
          <w:tcPr/>
          <w:p>
            <w:pPr>
              <w:pStyle w:val="Compact"/>
              <w:jc w:val="center"/>
            </w:pPr>
            <w:r>
              <w:t xml:space="preserve">695</w:t>
            </w:r>
          </w:p>
        </w:tc>
        <w:tc>
          <w:tcPr/>
          <w:p>
            <w:pPr>
              <w:pStyle w:val="Compact"/>
            </w:pPr>
            <w:r>
              <w:t xml:space="preserve">Illumina HiSeq 2000</w:t>
            </w:r>
          </w:p>
        </w:tc>
        <w:tc>
          <w:tcPr/>
          <w:p>
            <w:pPr>
              <w:pStyle w:val="Compact"/>
            </w:pPr>
            <w:r>
              <w:t xml:space="preserve">Raw counts</w:t>
            </w:r>
          </w:p>
        </w:tc>
        <w:tc>
          <w:tcPr/>
          <w:p>
            <w:pPr>
              <w:pStyle w:val="Compact"/>
            </w:pPr>
            <w:r>
              <w:t xml:space="preserve">Sajuthi et al., 2020</w:t>
            </w:r>
          </w:p>
        </w:tc>
      </w:tr>
      <w:tr>
        <w:tc>
          <w:tcPr/>
          <w:p>
            <w:pPr>
              <w:pStyle w:val="Compact"/>
            </w:pPr>
            <w:r>
              <w:t xml:space="preserve">Atopic dermatitis</w:t>
            </w:r>
          </w:p>
        </w:tc>
        <w:tc>
          <w:tcPr/>
          <w:p>
            <w:pPr>
              <w:pStyle w:val="Compact"/>
            </w:pPr>
            <w:r>
              <w:t xml:space="preserve">GSE121212</w:t>
            </w:r>
          </w:p>
        </w:tc>
        <w:tc>
          <w:tcPr/>
          <w:p>
            <w:pPr>
              <w:pStyle w:val="Compact"/>
            </w:pPr>
            <w:r>
              <w:t xml:space="preserve">Lesional skin / healthy control biopsy</w:t>
            </w:r>
          </w:p>
        </w:tc>
        <w:tc>
          <w:tcPr/>
          <w:p>
            <w:pPr>
              <w:pStyle w:val="Compact"/>
              <w:jc w:val="center"/>
            </w:pPr>
            <w:r>
              <w:t xml:space="preserve">27</w:t>
            </w:r>
          </w:p>
        </w:tc>
        <w:tc>
          <w:tcPr/>
          <w:p>
            <w:pPr>
              <w:pStyle w:val="Compact"/>
              <w:jc w:val="center"/>
            </w:pPr>
            <w:r>
              <w:t xml:space="preserve">38</w:t>
            </w:r>
          </w:p>
        </w:tc>
        <w:tc>
          <w:tcPr/>
          <w:p>
            <w:pPr>
              <w:pStyle w:val="Compact"/>
              <w:jc w:val="center"/>
            </w:pPr>
            <w:r>
              <w:t xml:space="preserve">65</w:t>
            </w:r>
          </w:p>
        </w:tc>
        <w:tc>
          <w:tcPr/>
          <w:p>
            <w:pPr>
              <w:pStyle w:val="Compact"/>
            </w:pPr>
            <w:r>
              <w:t xml:space="preserve">Illumina HiSeq 2500</w:t>
            </w:r>
          </w:p>
        </w:tc>
        <w:tc>
          <w:tcPr/>
          <w:p>
            <w:pPr>
              <w:pStyle w:val="Compact"/>
            </w:pPr>
            <w:r>
              <w:t xml:space="preserve">Raw counts</w:t>
            </w:r>
          </w:p>
        </w:tc>
        <w:tc>
          <w:tcPr/>
          <w:p>
            <w:pPr>
              <w:pStyle w:val="Compact"/>
            </w:pPr>
            <w:r>
              <w:t xml:space="preserve">Tsoi et al., 2019</w:t>
            </w:r>
          </w:p>
        </w:tc>
      </w:tr>
      <w:tr>
        <w:tc>
          <w:tcPr/>
          <w:p>
            <w:pPr>
              <w:pStyle w:val="Compact"/>
            </w:pPr>
            <w:r>
              <w:t xml:space="preserve">Eosinophilic esophagitis</w:t>
            </w:r>
          </w:p>
        </w:tc>
        <w:tc>
          <w:tcPr/>
          <w:p>
            <w:pPr>
              <w:pStyle w:val="Compact"/>
            </w:pPr>
            <w:r>
              <w:t xml:space="preserve">GSE246323</w:t>
            </w:r>
          </w:p>
        </w:tc>
        <w:tc>
          <w:tcPr/>
          <w:p>
            <w:pPr>
              <w:pStyle w:val="Compact"/>
            </w:pPr>
            <w:r>
              <w:t xml:space="preserve">Esophageal biopsy (baseline)</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10</w:t>
            </w:r>
          </w:p>
        </w:tc>
        <w:tc>
          <w:tcPr/>
          <w:p>
            <w:pPr>
              <w:pStyle w:val="Compact"/>
            </w:pPr>
            <w:r>
              <w:t xml:space="preserve">Illumina NovaSeq 6000</w:t>
            </w:r>
          </w:p>
        </w:tc>
        <w:tc>
          <w:tcPr/>
          <w:p>
            <w:pPr>
              <w:pStyle w:val="Compact"/>
            </w:pPr>
            <w:r>
              <w:t xml:space="preserve">Raw counts</w:t>
            </w:r>
          </w:p>
        </w:tc>
        <w:tc>
          <w:tcPr/>
          <w:p>
            <w:pPr>
              <w:pStyle w:val="Compact"/>
            </w:pPr>
            <w:r>
              <w:t xml:space="preserve">Kleuskens et al., 2024</w:t>
            </w:r>
          </w:p>
        </w:tc>
      </w:tr>
      <w:tr>
        <w:tc>
          <w:tcPr/>
          <w:p>
            <w:pPr>
              <w:pStyle w:val="Compact"/>
            </w:pPr>
            <w:r>
              <w:t xml:space="preserve">Eosinophilic esophagitis</w:t>
            </w:r>
          </w:p>
        </w:tc>
        <w:tc>
          <w:tcPr/>
          <w:p>
            <w:pPr>
              <w:pStyle w:val="Compact"/>
            </w:pPr>
            <w:r>
              <w:t xml:space="preserve">GSE58640</w:t>
            </w:r>
          </w:p>
        </w:tc>
        <w:tc>
          <w:tcPr/>
          <w:p>
            <w:pPr>
              <w:pStyle w:val="Compact"/>
            </w:pPr>
            <w:r>
              <w:t xml:space="preserve">Esophageal biopsy</w:t>
            </w:r>
          </w:p>
        </w:tc>
        <w:tc>
          <w:tcPr/>
          <w:p>
            <w:pPr>
              <w:pStyle w:val="Compact"/>
              <w:jc w:val="center"/>
            </w:pPr>
            <w:r>
              <w:t xml:space="preserve">10</w:t>
            </w:r>
          </w:p>
        </w:tc>
        <w:tc>
          <w:tcPr/>
          <w:p>
            <w:pPr>
              <w:pStyle w:val="Compact"/>
              <w:jc w:val="center"/>
            </w:pPr>
            <w:r>
              <w:t xml:space="preserve">6</w:t>
            </w:r>
          </w:p>
        </w:tc>
        <w:tc>
          <w:tcPr/>
          <w:p>
            <w:pPr>
              <w:pStyle w:val="Compact"/>
              <w:jc w:val="center"/>
            </w:pPr>
            <w:r>
              <w:t xml:space="preserve">16</w:t>
            </w:r>
          </w:p>
        </w:tc>
        <w:tc>
          <w:tcPr/>
          <w:p>
            <w:pPr>
              <w:pStyle w:val="Compact"/>
            </w:pPr>
            <w:r>
              <w:t xml:space="preserve">Illumina HiSeq 2000</w:t>
            </w:r>
          </w:p>
        </w:tc>
        <w:tc>
          <w:tcPr/>
          <w:p>
            <w:pPr>
              <w:pStyle w:val="Compact"/>
            </w:pPr>
            <w:r>
              <w:t xml:space="preserve">FPKM</w:t>
            </w:r>
          </w:p>
        </w:tc>
        <w:tc>
          <w:tcPr/>
          <w:p>
            <w:pPr>
              <w:pStyle w:val="Compact"/>
            </w:pPr>
            <w:r>
              <w:t xml:space="preserve">Sherrill et al., 2014</w:t>
            </w:r>
          </w:p>
        </w:tc>
      </w:tr>
      <w:tr>
        <w:tc>
          <w:tcPr/>
          <w:p>
            <w:pPr>
              <w:pStyle w:val="Compact"/>
            </w:pPr>
            <w:r>
              <w:t xml:space="preserve">Chronic rhinosinusitis with nasal polyposis</w:t>
            </w:r>
          </w:p>
        </w:tc>
        <w:tc>
          <w:tcPr/>
          <w:p>
            <w:pPr>
              <w:pStyle w:val="Compact"/>
            </w:pPr>
            <w:r>
              <w:t xml:space="preserve">GSE136825</w:t>
            </w:r>
          </w:p>
        </w:tc>
        <w:tc>
          <w:tcPr/>
          <w:p>
            <w:pPr>
              <w:pStyle w:val="Compact"/>
            </w:pPr>
            <w:r>
              <w:t xml:space="preserve">Nasal polyp tissue / control inferior turbinate</w:t>
            </w:r>
          </w:p>
        </w:tc>
        <w:tc>
          <w:tcPr/>
          <w:p>
            <w:pPr>
              <w:pStyle w:val="Compact"/>
              <w:jc w:val="center"/>
            </w:pPr>
            <w:r>
              <w:t xml:space="preserve">42</w:t>
            </w:r>
          </w:p>
        </w:tc>
        <w:tc>
          <w:tcPr/>
          <w:p>
            <w:pPr>
              <w:pStyle w:val="Compact"/>
              <w:jc w:val="center"/>
            </w:pPr>
            <w:r>
              <w:t xml:space="preserve">28</w:t>
            </w:r>
          </w:p>
        </w:tc>
        <w:tc>
          <w:tcPr/>
          <w:p>
            <w:pPr>
              <w:pStyle w:val="Compact"/>
              <w:jc w:val="center"/>
            </w:pPr>
            <w:r>
              <w:t xml:space="preserve">70</w:t>
            </w:r>
          </w:p>
        </w:tc>
        <w:tc>
          <w:tcPr/>
          <w:p>
            <w:pPr>
              <w:pStyle w:val="Compact"/>
            </w:pPr>
            <w:r>
              <w:t xml:space="preserve">Illumina HiSeq 4000</w:t>
            </w:r>
          </w:p>
        </w:tc>
        <w:tc>
          <w:tcPr/>
          <w:p>
            <w:pPr>
              <w:pStyle w:val="Compact"/>
            </w:pPr>
            <w:r>
              <w:t xml:space="preserve">Raw counts (featureCounts)</w:t>
            </w:r>
          </w:p>
        </w:tc>
        <w:tc>
          <w:tcPr/>
          <w:p>
            <w:pPr>
              <w:pStyle w:val="Compact"/>
            </w:pPr>
            <w:r>
              <w:t xml:space="preserve">Peng et al., 2019</w:t>
            </w:r>
          </w:p>
        </w:tc>
      </w:tr>
      <w:tr>
        <w:tc>
          <w:tcPr/>
          <w:p>
            <w:pPr>
              <w:pStyle w:val="Compact"/>
            </w:pPr>
            <w:r>
              <w:rPr>
                <w:b/>
                <w:bCs/>
              </w:rPr>
              <w:t xml:space="preserve">Combined</w:t>
            </w:r>
          </w:p>
        </w:tc>
        <w:tc>
          <w:tcPr/>
          <w:p>
            <w:pPr>
              <w:pStyle w:val="Compact"/>
            </w:pPr>
          </w:p>
        </w:tc>
        <w:tc>
          <w:tcPr/>
          <w:p>
            <w:pPr>
              <w:pStyle w:val="Compact"/>
            </w:pPr>
          </w:p>
        </w:tc>
        <w:tc>
          <w:tcPr/>
          <w:p>
            <w:pPr>
              <w:pStyle w:val="Compact"/>
              <w:jc w:val="center"/>
            </w:pPr>
            <w:r>
              <w:rPr>
                <w:b/>
                <w:bCs/>
              </w:rPr>
              <w:t xml:space="preserve">472</w:t>
            </w:r>
          </w:p>
        </w:tc>
        <w:tc>
          <w:tcPr/>
          <w:p>
            <w:pPr>
              <w:pStyle w:val="Compact"/>
              <w:jc w:val="center"/>
            </w:pPr>
            <w:r>
              <w:rPr>
                <w:b/>
                <w:bCs/>
              </w:rPr>
              <w:t xml:space="preserve">384</w:t>
            </w:r>
          </w:p>
        </w:tc>
        <w:tc>
          <w:tcPr/>
          <w:p>
            <w:pPr>
              <w:pStyle w:val="Compact"/>
              <w:jc w:val="center"/>
            </w:pPr>
            <w:r>
              <w:rPr>
                <w:b/>
                <w:bCs/>
              </w:rPr>
              <w:t xml:space="preserve">856</w:t>
            </w:r>
          </w:p>
        </w:tc>
        <w:tc>
          <w:tcPr/>
          <w:p>
            <w:pPr>
              <w:pStyle w:val="Compact"/>
            </w:pPr>
          </w:p>
        </w:tc>
        <w:tc>
          <w:tcPr/>
          <w:p>
            <w:pPr>
              <w:pStyle w:val="Compact"/>
            </w:pPr>
          </w:p>
        </w:tc>
        <w:tc>
          <w:tcPr/>
          <w:p>
            <w:pPr>
              <w:pStyle w:val="Compact"/>
            </w:pPr>
          </w:p>
        </w:tc>
      </w:tr>
    </w:tbl>
    <w:p>
      <w:pPr>
        <w:pStyle w:val="BodyText"/>
      </w:pPr>
      <w:r>
        <w:rPr>
          <w:i/>
          <w:iCs/>
        </w:rPr>
        <w:t xml:space="preserve">Three additional candidate datasets (GSE201955, GSE65832, GSE179269) were excluded because IDI2-AS1 was absent from the available processed expression matrix or because per-sample raw data could not be recovered without re-quantification from SRA. For GSE136825, patient nasal-polyp tissue (n = 42) was compared with healthy-donor inferior-turbinate tissue (n = 28); paired within-patient nasal-polyp / inferior-turbinate samples (NP_IT, n = 33) were excluded. This contrast is confounded by anatomical site (polyp vs turbinate) and donor source (patient vs unrelated healthy donor) and is therefore not structurally matched in the way the other cohorts are; the cohort is interpreted with that caveat and the quantitative decomposition does not rest on it.</w:t>
      </w:r>
    </w:p>
    <w:p>
      <w:r>
        <w:pict>
          <v:rect style="width:0;height:1.5pt" o:hralign="center" o:hrstd="t" o:hr="t"/>
        </w:pict>
      </w:r>
    </w:p>
    <w:bookmarkEnd w:id="9"/>
    <w:bookmarkStart w:id="10" w:name="Xab4a90abdf4cf7709f93d3d238730498140fd42"/>
    <w:p>
      <w:pPr>
        <w:pStyle w:val="Heading2"/>
      </w:pPr>
      <w:r>
        <w:t xml:space="preserve">Table 2. Sample-level</w:t>
      </w:r>
      <w:r>
        <w:t xml:space="preserve"> </w:t>
      </w:r>
      <w:r>
        <w:rPr>
          <w:i/>
          <w:iCs/>
        </w:rPr>
        <w:t xml:space="preserve">IDI2-AS1</w:t>
      </w:r>
      <w:r>
        <w:t xml:space="preserve">–</w:t>
      </w:r>
      <w:r>
        <w:rPr>
          <w:i/>
          <w:iCs/>
        </w:rPr>
        <w:t xml:space="preserve">IL5</w:t>
      </w:r>
      <w:r>
        <w:t xml:space="preserve"> </w:t>
      </w:r>
      <w:r>
        <w:t xml:space="preserve">association: raw, cell-type-adjusted, and bootstrap decomposition</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Cohort</w:t>
            </w:r>
          </w:p>
        </w:tc>
        <w:tc>
          <w:tcPr/>
          <w:p>
            <w:pPr>
              <w:pStyle w:val="Compact"/>
              <w:jc w:val="center"/>
            </w:pPr>
            <w:r>
              <w:t xml:space="preserve">n</w:t>
            </w:r>
          </w:p>
        </w:tc>
        <w:tc>
          <w:tcPr/>
          <w:p>
            <w:pPr>
              <w:pStyle w:val="Compact"/>
              <w:jc w:val="center"/>
            </w:pPr>
            <w:r>
              <w:rPr>
                <w:b/>
                <w:bCs/>
              </w:rPr>
              <w:t xml:space="preserve">Raw Spearman ρ</w:t>
            </w:r>
          </w:p>
        </w:tc>
        <w:tc>
          <w:tcPr/>
          <w:p>
            <w:pPr>
              <w:pStyle w:val="Compact"/>
              <w:jc w:val="center"/>
            </w:pPr>
            <w:r>
              <w:t xml:space="preserve">raw</w:t>
            </w:r>
            <w:r>
              <w:t xml:space="preserve"> </w:t>
            </w:r>
            <w:r>
              <w:rPr>
                <w:i/>
                <w:iCs/>
              </w:rPr>
              <w:t xml:space="preserve">p</w:t>
            </w:r>
          </w:p>
        </w:tc>
        <w:tc>
          <w:tcPr/>
          <w:p>
            <w:pPr>
              <w:pStyle w:val="Compact"/>
              <w:jc w:val="center"/>
            </w:pPr>
            <w:r>
              <w:rPr>
                <w:b/>
                <w:bCs/>
              </w:rPr>
              <w:t xml:space="preserve">Partial ρ</w:t>
            </w:r>
            <w:r>
              <w:t xml:space="preserve"> </w:t>
            </w:r>
            <w:r>
              <w:t xml:space="preserve">(| eos + Th2)</w:t>
            </w:r>
          </w:p>
        </w:tc>
        <w:tc>
          <w:tcPr/>
          <w:p>
            <w:pPr>
              <w:pStyle w:val="Compact"/>
              <w:jc w:val="center"/>
            </w:pPr>
            <w:r>
              <w:t xml:space="preserve">partial</w:t>
            </w:r>
            <w:r>
              <w:t xml:space="preserve"> </w:t>
            </w:r>
            <w:r>
              <w:rPr>
                <w:i/>
                <w:iCs/>
              </w:rPr>
              <w:t xml:space="preserve">p</w:t>
            </w:r>
          </w:p>
        </w:tc>
        <w:tc>
          <w:tcPr/>
          <w:p>
            <w:pPr>
              <w:pStyle w:val="Compact"/>
              <w:jc w:val="center"/>
            </w:pPr>
            <w:r>
              <w:t xml:space="preserve">Composition component (eos.)</w:t>
            </w:r>
          </w:p>
        </w:tc>
        <w:tc>
          <w:tcPr/>
          <w:p>
            <w:pPr>
              <w:pStyle w:val="Compact"/>
              <w:jc w:val="center"/>
            </w:pPr>
            <w:r>
              <w:t xml:space="preserve">95 % CI</w:t>
            </w:r>
          </w:p>
        </w:tc>
        <w:tc>
          <w:tcPr/>
          <w:p>
            <w:pPr>
              <w:pStyle w:val="Compact"/>
              <w:jc w:val="center"/>
            </w:pPr>
            <w:r>
              <w:rPr>
                <w:i/>
                <w:iCs/>
              </w:rPr>
              <w:t xml:space="preserve">p</w:t>
            </w:r>
          </w:p>
        </w:tc>
        <w:tc>
          <w:tcPr/>
          <w:p>
            <w:pPr>
              <w:pStyle w:val="Compact"/>
              <w:jc w:val="center"/>
            </w:pPr>
            <w:r>
              <w:t xml:space="preserve">Residual</w:t>
            </w:r>
          </w:p>
        </w:tc>
        <w:tc>
          <w:tcPr/>
          <w:p>
            <w:pPr>
              <w:pStyle w:val="Compact"/>
              <w:jc w:val="center"/>
            </w:pPr>
            <w:r>
              <w:t xml:space="preserve">residual</w:t>
            </w:r>
            <w:r>
              <w:t xml:space="preserve"> </w:t>
            </w:r>
            <w:r>
              <w:rPr>
                <w:i/>
                <w:iCs/>
              </w:rPr>
              <w:t xml:space="preserve">p</w:t>
            </w:r>
          </w:p>
        </w:tc>
        <w:tc>
          <w:tcPr/>
          <w:p>
            <w:pPr>
              <w:pStyle w:val="Compact"/>
              <w:jc w:val="center"/>
            </w:pPr>
            <w:r>
              <w:t xml:space="preserve">Prop. attributable</w:t>
            </w:r>
          </w:p>
        </w:tc>
      </w:tr>
      <w:tr>
        <w:tc>
          <w:tcPr/>
          <w:p>
            <w:pPr>
              <w:pStyle w:val="Compact"/>
            </w:pPr>
            <w:r>
              <w:rPr>
                <w:b/>
                <w:bCs/>
              </w:rPr>
              <w:t xml:space="preserve">Asthma</w:t>
            </w:r>
            <w:r>
              <w:t xml:space="preserve"> </w:t>
            </w:r>
            <w:r>
              <w:t xml:space="preserve">(GSE152004)</w:t>
            </w:r>
          </w:p>
        </w:tc>
        <w:tc>
          <w:tcPr/>
          <w:p>
            <w:pPr>
              <w:pStyle w:val="Compact"/>
              <w:jc w:val="center"/>
            </w:pPr>
            <w:r>
              <w:rPr>
                <w:b/>
                <w:bCs/>
              </w:rPr>
              <w:t xml:space="preserve">695</w:t>
            </w:r>
          </w:p>
        </w:tc>
        <w:tc>
          <w:tcPr/>
          <w:p>
            <w:pPr>
              <w:pStyle w:val="Compact"/>
              <w:jc w:val="center"/>
            </w:pPr>
            <w:r>
              <w:rPr>
                <w:b/>
                <w:bCs/>
              </w:rPr>
              <w:t xml:space="preserve">+0.109</w:t>
            </w:r>
          </w:p>
        </w:tc>
        <w:tc>
          <w:tcPr/>
          <w:p>
            <w:pPr>
              <w:pStyle w:val="Compact"/>
              <w:jc w:val="center"/>
            </w:pPr>
            <w:r>
              <w:rPr>
                <w:b/>
                <w:bCs/>
              </w:rPr>
              <w:t xml:space="preserve">0.004</w:t>
            </w:r>
          </w:p>
        </w:tc>
        <w:tc>
          <w:tcPr/>
          <w:p>
            <w:pPr>
              <w:pStyle w:val="Compact"/>
              <w:jc w:val="center"/>
            </w:pPr>
            <w:r>
              <w:rPr>
                <w:b/>
                <w:bCs/>
              </w:rPr>
              <w:t xml:space="preserve">+0.052</w:t>
            </w:r>
          </w:p>
        </w:tc>
        <w:tc>
          <w:tcPr/>
          <w:p>
            <w:pPr>
              <w:pStyle w:val="Compact"/>
              <w:jc w:val="center"/>
            </w:pPr>
            <w:r>
              <w:rPr>
                <w:b/>
                <w:bCs/>
              </w:rPr>
              <w:t xml:space="preserve">0.17</w:t>
            </w:r>
          </w:p>
        </w:tc>
        <w:tc>
          <w:tcPr/>
          <w:p>
            <w:pPr>
              <w:pStyle w:val="Compact"/>
              <w:jc w:val="center"/>
            </w:pPr>
            <w:r>
              <w:rPr>
                <w:b/>
                <w:bCs/>
              </w:rPr>
              <w:t xml:space="preserve">+0.109</w:t>
            </w:r>
          </w:p>
        </w:tc>
        <w:tc>
          <w:tcPr/>
          <w:p>
            <w:pPr>
              <w:pStyle w:val="Compact"/>
              <w:jc w:val="center"/>
            </w:pPr>
            <w:r>
              <w:t xml:space="preserve">[+0.041, +0.176]</w:t>
            </w:r>
          </w:p>
        </w:tc>
        <w:tc>
          <w:tcPr/>
          <w:p>
            <w:pPr>
              <w:pStyle w:val="Compact"/>
              <w:jc w:val="center"/>
            </w:pPr>
            <w:r>
              <w:rPr>
                <w:b/>
                <w:bCs/>
              </w:rPr>
              <w:t xml:space="preserve">0.002</w:t>
            </w:r>
          </w:p>
        </w:tc>
        <w:tc>
          <w:tcPr/>
          <w:p>
            <w:pPr>
              <w:pStyle w:val="Compact"/>
              <w:jc w:val="center"/>
            </w:pPr>
            <w:r>
              <w:rPr>
                <w:b/>
                <w:bCs/>
              </w:rPr>
              <w:t xml:space="preserve">+0.012</w:t>
            </w:r>
          </w:p>
        </w:tc>
        <w:tc>
          <w:tcPr/>
          <w:p>
            <w:pPr>
              <w:pStyle w:val="Compact"/>
              <w:jc w:val="center"/>
            </w:pPr>
            <w:r>
              <w:rPr>
                <w:b/>
                <w:bCs/>
              </w:rPr>
              <w:t xml:space="preserve">0.76</w:t>
            </w:r>
          </w:p>
        </w:tc>
        <w:tc>
          <w:tcPr/>
          <w:p>
            <w:pPr>
              <w:pStyle w:val="Compact"/>
              <w:jc w:val="center"/>
            </w:pPr>
            <w:r>
              <w:rPr>
                <w:b/>
                <w:bCs/>
              </w:rPr>
              <w:t xml:space="preserve">0.90</w:t>
            </w:r>
          </w:p>
        </w:tc>
      </w:tr>
      <w:tr>
        <w:tc>
          <w:tcPr/>
          <w:p>
            <w:pPr>
              <w:pStyle w:val="Compact"/>
            </w:pPr>
            <w:r>
              <w:t xml:space="preserve">Eos. esophagitis (GSE58640)</w:t>
            </w:r>
          </w:p>
        </w:tc>
        <w:tc>
          <w:tcPr/>
          <w:p>
            <w:pPr>
              <w:pStyle w:val="Compact"/>
              <w:jc w:val="center"/>
            </w:pPr>
            <w:r>
              <w:t xml:space="preserve">16</w:t>
            </w:r>
          </w:p>
        </w:tc>
        <w:tc>
          <w:tcPr/>
          <w:p>
            <w:pPr>
              <w:pStyle w:val="Compact"/>
              <w:jc w:val="center"/>
            </w:pPr>
            <w:r>
              <w:t xml:space="preserve">+0.489</w:t>
            </w:r>
          </w:p>
        </w:tc>
        <w:tc>
          <w:tcPr/>
          <w:p>
            <w:pPr>
              <w:pStyle w:val="Compact"/>
              <w:jc w:val="center"/>
            </w:pPr>
            <w:r>
              <w:t xml:space="preserve">0.054</w:t>
            </w:r>
          </w:p>
        </w:tc>
        <w:tc>
          <w:tcPr/>
          <w:p>
            <w:pPr>
              <w:pStyle w:val="Compact"/>
              <w:jc w:val="center"/>
            </w:pPr>
            <w:r>
              <w:t xml:space="preserve">+0.425</w:t>
            </w:r>
          </w:p>
        </w:tc>
        <w:tc>
          <w:tcPr/>
          <w:p>
            <w:pPr>
              <w:pStyle w:val="Compact"/>
              <w:jc w:val="center"/>
            </w:pPr>
            <w:r>
              <w:t xml:space="preserve">0.13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CRSwNP (GSE136825)</w:t>
            </w:r>
          </w:p>
        </w:tc>
        <w:tc>
          <w:tcPr/>
          <w:p>
            <w:pPr>
              <w:pStyle w:val="Compact"/>
              <w:jc w:val="center"/>
            </w:pPr>
            <w:r>
              <w:t xml:space="preserve">70</w:t>
            </w:r>
          </w:p>
        </w:tc>
        <w:tc>
          <w:tcPr/>
          <w:p>
            <w:pPr>
              <w:pStyle w:val="Compact"/>
              <w:jc w:val="center"/>
            </w:pPr>
            <w:r>
              <w:t xml:space="preserve">+0.085</w:t>
            </w:r>
          </w:p>
        </w:tc>
        <w:tc>
          <w:tcPr/>
          <w:p>
            <w:pPr>
              <w:pStyle w:val="Compact"/>
              <w:jc w:val="center"/>
            </w:pPr>
            <w:r>
              <w:t xml:space="preserve">0.48</w:t>
            </w:r>
          </w:p>
        </w:tc>
        <w:tc>
          <w:tcPr/>
          <w:p>
            <w:pPr>
              <w:pStyle w:val="Compact"/>
              <w:jc w:val="center"/>
            </w:pPr>
            <w:r>
              <w:t xml:space="preserve">+0.135</w:t>
            </w:r>
          </w:p>
        </w:tc>
        <w:tc>
          <w:tcPr/>
          <w:p>
            <w:pPr>
              <w:pStyle w:val="Compact"/>
              <w:jc w:val="center"/>
            </w:pPr>
            <w:r>
              <w:t xml:space="preserve">0.27</w:t>
            </w:r>
          </w:p>
        </w:tc>
        <w:tc>
          <w:tcPr/>
          <w:p>
            <w:pPr>
              <w:pStyle w:val="Compact"/>
              <w:jc w:val="center"/>
            </w:pPr>
            <w:r>
              <w:t xml:space="preserve">−0.028</w:t>
            </w:r>
          </w:p>
        </w:tc>
        <w:tc>
          <w:tcPr/>
          <w:p>
            <w:pPr>
              <w:pStyle w:val="Compact"/>
              <w:jc w:val="center"/>
            </w:pPr>
            <w:r>
              <w:t xml:space="preserve">[−0.086, +0.005]</w:t>
            </w:r>
          </w:p>
        </w:tc>
        <w:tc>
          <w:tcPr/>
          <w:p>
            <w:pPr>
              <w:pStyle w:val="Compact"/>
              <w:jc w:val="center"/>
            </w:pPr>
            <w:r>
              <w:t xml:space="preserve">0.13</w:t>
            </w:r>
          </w:p>
        </w:tc>
        <w:tc>
          <w:tcPr/>
          <w:p>
            <w:pPr>
              <w:pStyle w:val="Compact"/>
              <w:jc w:val="center"/>
            </w:pPr>
            <w:r>
              <w:t xml:space="preserve">+0.096</w:t>
            </w:r>
          </w:p>
        </w:tc>
        <w:tc>
          <w:tcPr/>
          <w:p>
            <w:pPr>
              <w:pStyle w:val="Compact"/>
              <w:jc w:val="center"/>
            </w:pPr>
            <w:r>
              <w:t xml:space="preserve">0.25</w:t>
            </w:r>
          </w:p>
        </w:tc>
        <w:tc>
          <w:tcPr/>
          <w:p>
            <w:pPr>
              <w:pStyle w:val="Compact"/>
              <w:jc w:val="center"/>
            </w:pPr>
            <w:r>
              <w:t xml:space="preserve">(n.s.)</w:t>
            </w:r>
          </w:p>
        </w:tc>
      </w:tr>
      <w:tr>
        <w:tc>
          <w:tcPr/>
          <w:p>
            <w:pPr>
              <w:pStyle w:val="Compact"/>
            </w:pPr>
            <w:r>
              <w:t xml:space="preserve">Atopic dermatitis (GSE121212)</w:t>
            </w:r>
          </w:p>
        </w:tc>
        <w:tc>
          <w:tcPr/>
          <w:p>
            <w:pPr>
              <w:pStyle w:val="Compact"/>
              <w:jc w:val="center"/>
            </w:pPr>
            <w:r>
              <w:t xml:space="preserve">65</w:t>
            </w:r>
          </w:p>
        </w:tc>
        <w:tc>
          <w:tcPr/>
          <w:p>
            <w:pPr>
              <w:pStyle w:val="Compact"/>
              <w:jc w:val="center"/>
            </w:pPr>
            <w:r>
              <w:t xml:space="preserve">+0.060</w:t>
            </w:r>
          </w:p>
        </w:tc>
        <w:tc>
          <w:tcPr/>
          <w:p>
            <w:pPr>
              <w:pStyle w:val="Compact"/>
              <w:jc w:val="center"/>
            </w:pPr>
            <w:r>
              <w:t xml:space="preserve">0.63</w:t>
            </w:r>
          </w:p>
        </w:tc>
        <w:tc>
          <w:tcPr/>
          <w:p>
            <w:pPr>
              <w:pStyle w:val="Compact"/>
              <w:jc w:val="center"/>
            </w:pPr>
            <w:r>
              <w:t xml:space="preserve">+0.010</w:t>
            </w:r>
          </w:p>
        </w:tc>
        <w:tc>
          <w:tcPr/>
          <w:p>
            <w:pPr>
              <w:pStyle w:val="Compact"/>
              <w:jc w:val="center"/>
            </w:pPr>
            <w:r>
              <w:t xml:space="preserve">0.94</w:t>
            </w:r>
          </w:p>
        </w:tc>
        <w:tc>
          <w:tcPr/>
          <w:p>
            <w:pPr>
              <w:pStyle w:val="Compact"/>
              <w:jc w:val="center"/>
            </w:pPr>
            <w:r>
              <w:t xml:space="preserve">+0.054</w:t>
            </w:r>
          </w:p>
        </w:tc>
        <w:tc>
          <w:tcPr/>
          <w:p>
            <w:pPr>
              <w:pStyle w:val="Compact"/>
              <w:jc w:val="center"/>
            </w:pPr>
            <w:r>
              <w:t xml:space="preserve">[−0.006, +0.170]</w:t>
            </w:r>
          </w:p>
        </w:tc>
        <w:tc>
          <w:tcPr/>
          <w:p>
            <w:pPr>
              <w:pStyle w:val="Compact"/>
              <w:jc w:val="center"/>
            </w:pPr>
            <w:r>
              <w:t xml:space="preserve">0.15</w:t>
            </w:r>
          </w:p>
        </w:tc>
        <w:tc>
          <w:tcPr/>
          <w:p>
            <w:pPr>
              <w:pStyle w:val="Compact"/>
              <w:jc w:val="center"/>
            </w:pPr>
            <w:r>
              <w:t xml:space="preserve">−0.033</w:t>
            </w:r>
          </w:p>
        </w:tc>
        <w:tc>
          <w:tcPr/>
          <w:p>
            <w:pPr>
              <w:pStyle w:val="Compact"/>
              <w:jc w:val="center"/>
            </w:pPr>
            <w:r>
              <w:t xml:space="preserve">0.78</w:t>
            </w:r>
          </w:p>
        </w:tc>
        <w:tc>
          <w:tcPr/>
          <w:p>
            <w:pPr>
              <w:pStyle w:val="Compact"/>
              <w:jc w:val="center"/>
            </w:pPr>
            <w:r>
              <w:t xml:space="preserve">(n.s.)</w:t>
            </w:r>
          </w:p>
        </w:tc>
      </w:tr>
    </w:tbl>
    <w:p>
      <w:pPr>
        <w:pStyle w:val="BodyText"/>
      </w:pPr>
      <w:r>
        <w:rPr>
          <w:i/>
          <w:iCs/>
        </w:rPr>
        <w:t xml:space="preserve">Partial Spearman correlation conditions on per-sample eosinophil and Th2 marker-signature scores (</w:t>
      </w:r>
      <w:r>
        <w:rPr>
          <w:rStyle w:val="VerbatimChar"/>
          <w:i/>
          <w:iCs/>
        </w:rPr>
        <w:t xml:space="preserve">ppcor::pcor.test</w:t>
      </w:r>
      <w:r>
        <w:rPr>
          <w:i/>
          <w:iCs/>
        </w:rPr>
        <w:t xml:space="preserve">). The bootstrap decomposition (</w:t>
      </w:r>
      <w:r>
        <w:rPr>
          <w:rStyle w:val="VerbatimChar"/>
          <w:i/>
          <w:iCs/>
        </w:rPr>
        <w:t xml:space="preserve">mediation::mediate</w:t>
      </w:r>
      <w:r>
        <w:rPr>
          <w:i/>
          <w:iCs/>
        </w:rPr>
        <w:t xml:space="preserve">, 1,000 nonparametric bootstrap resamples, percentile CIs) is adequately powered only in the asthma cohort (n = 695); the smaller-cohort estimates are listed for transparency but are underpowered and mixed in direction (AD positive, CRSwNP negative; neither significant) and should not be read as confirmation. Because the underlying data are cross-sectional, the composition and residual values are a statistical partition of the association under the assumed linear model, not a causal effect. The 0.90 proportion in asthma means ≈ 90 % of the apparent IDI2-AS1–IL5 association is statistically attributable to the eosinophil compartment, leaving a within-tissue residual indistinguishable from zero (p = 0.76); this is reproduced at a more conservative ≈ 70 % (p = 0.006) using independent xCell deconvolution (Fig. 6).</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2026-06-17T06:37:23Z</dcterms:created>
  <dcterms:modified xsi:type="dcterms:W3CDTF">2026-06-17T06:37:23Z</dcterms:modified>
</cp:coreProperties>
</file>

<file path=docProps/custom.xml><?xml version="1.0" encoding="utf-8"?>
<Properties xmlns="http://schemas.openxmlformats.org/officeDocument/2006/custom-properties" xmlns:vt="http://schemas.openxmlformats.org/officeDocument/2006/docPropsVTypes"/>
</file>