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The Editor-in-Chief</w:t>
      </w:r>
    </w:p>
    <w:p>
      <w:r>
        <w:rPr>
          <w:b w:val="0"/>
          <w:i w:val="0"/>
        </w:rPr>
        <w:t>Allergology International</w:t>
      </w:r>
    </w:p>
    <w:p>
      <w:r>
        <w:rPr>
          <w:b w:val="0"/>
          <w:i w:val="0"/>
        </w:rPr>
        <w:t>Japanese Society of Allergology</w:t>
      </w:r>
    </w:p>
    <w:p>
      <w:r>
        <w:rPr>
          <w:b w:val="0"/>
          <w:i w:val="0"/>
        </w:rPr>
      </w:r>
    </w:p>
    <w:p>
      <w:r>
        <w:rPr>
          <w:b w:val="0"/>
          <w:i w:val="0"/>
        </w:rPr>
        <w:t>20 April, 2026</w:t>
      </w:r>
    </w:p>
    <w:p>
      <w:r>
        <w:rPr>
          <w:b w:val="0"/>
          <w:i w:val="0"/>
        </w:rPr>
      </w:r>
    </w:p>
    <w:p>
      <w:r>
        <w:rPr>
          <w:b w:val="0"/>
          <w:i w:val="0"/>
        </w:rPr>
        <w:t>Dear Editor-in-Chief:</w:t>
      </w:r>
    </w:p>
    <w:p>
      <w:r>
        <w:rPr>
          <w:b w:val="0"/>
          <w:i w:val="0"/>
        </w:rPr>
      </w:r>
    </w:p>
    <w:p>
      <w:r>
        <w:rPr>
          <w:b w:val="0"/>
          <w:i w:val="0"/>
        </w:rPr>
        <w:t>Please find enclosed my manuscript, “Bulk tissue transcriptomes obscure the IDI2-AS1 / IL5 relationship through cell-composition effects across four type-2 allergic diseases,” which I would like to submit for publication as an Original Article in Allergology International.</w:t>
      </w:r>
    </w:p>
    <w:p>
      <w:r>
        <w:rPr>
          <w:b w:val="0"/>
          <w:i w:val="0"/>
        </w:rPr>
      </w:r>
    </w:p>
    <w:p>
      <w:r>
        <w:rPr>
          <w:b w:val="0"/>
          <w:i w:val="0"/>
        </w:rPr>
        <w:t>This study is a computational re-analysis of five publicly deposited bulk RNA-seq cohorts (GSE152004, GSE121212, GSE246323, GSE58640, GSE136825; total n = 856 patients and controls) that together span four IL5-driven allergic diseases — asthma, atopic dermatitis, eosinophilic esophagitis, and chronic rhinosinusitis with nasal polyposis. It is positioned as a hypothesis-refining, in vivo-context follow-up to our recent in vitro mechanistic report (Endo, Kurisu, Tani, Biochem Biophys Res Commun 2025), which identified the long noncoding RNA IDI2-AS1 as a negative regulator of IL5 in human T-cell-line knock-down experiments. The scope (dry re-analysis only; no new wet data) is explicitly acknowledged throughout the manuscript.</w:t>
      </w:r>
    </w:p>
    <w:p>
      <w:r>
        <w:rPr>
          <w:b w:val="0"/>
          <w:i w:val="0"/>
        </w:rPr>
      </w:r>
    </w:p>
    <w:p>
      <w:r>
        <w:rPr>
          <w:b w:val="0"/>
          <w:i w:val="0"/>
        </w:rPr>
        <w:t>The work contributes four findings: (i) patient-vs-control IDI2-AS1 expression is invariant at the bulk-tissue level in every cohort (random-effects pooled log₂FC ≈ 0; I² = 0.26 % — a converging null across studies, not noise); (ii) sample-level IDI2-AS1 and IL5 covary positively in every testable cohort (significantly so in the largest, asthma, n = 695), which is the opposite of the within-cell repressive direction predicted by the in vitro mechanism; (iii) a bootstrap mediation-style decomposition in the asthma cohort attributes ≈ 90 % of that apparent covariation to shared expression in the eosinophil compartment, with a within-tissue direct effect indistinguishable from zero (ACME = +0.109, p = 0.002; ADE = +0.012, p = 0.76); and (iv) comparator lncRNAs and canonical type-2 cytokines in the same cohorts show the expected disease-stratified pattern, confirming that the flatness of IDI2-AS1 is a property of this specific lncRNA rather than of the pipeline.</w:t>
      </w:r>
    </w:p>
    <w:p>
      <w:r>
        <w:rPr>
          <w:b w:val="0"/>
          <w:i w:val="0"/>
        </w:rPr>
      </w:r>
    </w:p>
    <w:p>
      <w:r>
        <w:rPr>
          <w:b w:val="0"/>
          <w:i w:val="0"/>
        </w:rPr>
        <w:t>I believe this work is well suited for Allergology International because it directly addresses three areas central to the journal's scope: type-2 / allergic immunology (with direct relevance to the eosinophilic-asthma and CRSwNP axes on which anti-IL5 biologics act), transcriptomic methodology in human allergic disease, and the increasingly active field of non-coding RNA regulation of type-2 effector cytokines. The results also argue more generally that authentic cell-type-restricted lncRNA regulators can be systematically invisible in bulk RNA-seq catalogs of clinical tissue, and motivate prioritizing cell-type-resolved follow-up over further bulk profiling. All analysis scripts and intermediate results are publicly available on GitHub, and the study relies exclusively on public GEO datasets, enabling any reader to reproduce or extend the analysis.</w:t>
      </w:r>
    </w:p>
    <w:p>
      <w:r>
        <w:rPr>
          <w:b w:val="0"/>
          <w:i w:val="0"/>
        </w:rPr>
      </w:r>
    </w:p>
    <w:p>
      <w:r>
        <w:rPr>
          <w:b w:val="0"/>
          <w:i w:val="0"/>
        </w:rPr>
        <w:t>I confirm that this manuscript has not been published elsewhere and is not under consideration by another journal. I have approved the manuscript and agree with its submission to Allergology International. The author has no conflicts of interest to declare. The study involves only publicly available, fully de-identified datasets and does not require ethical approval beyond that of the original investigators.</w:t>
      </w:r>
    </w:p>
    <w:p>
      <w:r>
        <w:rPr>
          <w:b w:val="0"/>
          <w:i w:val="0"/>
        </w:rPr>
      </w:r>
    </w:p>
    <w:p>
      <w:r>
        <w:rPr>
          <w:b w:val="0"/>
          <w:i w:val="0"/>
        </w:rPr>
        <w:t>Please address all correspondence to:</w:t>
      </w:r>
    </w:p>
    <w:p>
      <w:r>
        <w:rPr>
          <w:b w:val="0"/>
          <w:i w:val="0"/>
        </w:rPr>
      </w:r>
    </w:p>
    <w:p>
      <w:r>
        <w:rPr>
          <w:b w:val="0"/>
          <w:i w:val="0"/>
        </w:rPr>
        <w:t>Hidenori Tani, Ph.D.</w:t>
      </w:r>
    </w:p>
    <w:p>
      <w:r>
        <w:rPr>
          <w:b w:val="0"/>
          <w:i w:val="0"/>
        </w:rPr>
      </w:r>
    </w:p>
    <w:p>
      <w:r>
        <w:rPr>
          <w:b w:val="0"/>
          <w:i w:val="0"/>
        </w:rPr>
        <w:t>Department of Health Pharmacy</w:t>
      </w:r>
    </w:p>
    <w:p>
      <w:r>
        <w:rPr>
          <w:b w:val="0"/>
          <w:i w:val="0"/>
        </w:rPr>
        <w:t>Yokohama University of Pharmacy</w:t>
      </w:r>
    </w:p>
    <w:p>
      <w:r>
        <w:rPr>
          <w:b w:val="0"/>
          <w:i w:val="0"/>
        </w:rPr>
        <w:t>601 Matano-cho, Totsuka-ku, Yokohama 245-0066, Japan</w:t>
      </w:r>
    </w:p>
    <w:p>
      <w:r>
        <w:rPr>
          <w:b w:val="0"/>
          <w:i w:val="0"/>
        </w:rPr>
        <w:t>Tel.: +81 45 859 1300</w:t>
      </w:r>
    </w:p>
    <w:p>
      <w:r>
        <w:rPr>
          <w:b w:val="0"/>
          <w:i w:val="0"/>
        </w:rPr>
        <w:t>E-mail: hidenori.tani@yok.hamayaku.ac.jp</w:t>
      </w:r>
    </w:p>
    <w:p>
      <w:r>
        <w:rPr>
          <w:b w:val="0"/>
          <w:i w:val="0"/>
        </w:rPr>
        <w:t>ORCID: 0000-0001-6390-4136</w:t>
      </w:r>
    </w:p>
    <w:p>
      <w:r>
        <w:rPr>
          <w:b w:val="0"/>
          <w:i w:val="0"/>
        </w:rPr>
      </w:r>
    </w:p>
    <w:p>
      <w:r>
        <w:rPr>
          <w:b w:val="0"/>
          <w:i w:val="0"/>
        </w:rPr>
        <w:t>I look forward to hearing from you at your earliest convenience.</w:t>
      </w:r>
    </w:p>
    <w:p>
      <w:r>
        <w:rPr>
          <w:b w:val="0"/>
          <w:i w:val="0"/>
        </w:rPr>
      </w:r>
    </w:p>
    <w:p>
      <w:r>
        <w:rPr>
          <w:b w:val="0"/>
          <w:i w:val="0"/>
        </w:rPr>
        <w:t>Yours sincerely,</w:t>
      </w:r>
    </w:p>
    <w:p>
      <w:r>
        <w:rPr>
          <w:b w:val="0"/>
          <w:i w:val="0"/>
        </w:rPr>
      </w:r>
    </w:p>
    <w:p>
      <w:r>
        <w:rPr>
          <w:b w:val="0"/>
          <w:i w:val="0"/>
        </w:rPr>
        <w:t>Hidenori Tani, Ph.D.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