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t>The Editor-in-Chief</w:t>
      </w:r>
    </w:p>
    <w:p>
      <w:r>
        <w:rPr>
          <w:b w:val="0"/>
          <w:i w:val="0"/>
        </w:rPr>
        <w:t>Biochemical and Biophysical Research Communications</w:t>
      </w:r>
    </w:p>
    <w:p>
      <w:r>
        <w:rPr>
          <w:b w:val="0"/>
          <w:i w:val="0"/>
        </w:rPr>
        <w:t>Elsevier</w:t>
      </w:r>
    </w:p>
    <w:p>
      <w:r>
        <w:rPr>
          <w:b w:val="0"/>
          <w:i w:val="0"/>
        </w:rPr>
      </w:r>
    </w:p>
    <w:p>
      <w:r>
        <w:rPr>
          <w:b w:val="0"/>
          <w:i w:val="0"/>
        </w:rPr>
        <w:t>24 April, 2026</w:t>
      </w:r>
    </w:p>
    <w:p>
      <w:r>
        <w:rPr>
          <w:b w:val="0"/>
          <w:i w:val="0"/>
        </w:rPr>
      </w:r>
    </w:p>
    <w:p>
      <w:r>
        <w:rPr>
          <w:b w:val="0"/>
          <w:i w:val="0"/>
        </w:rPr>
        <w:t>Dear Editor-in-Chief:</w:t>
      </w:r>
    </w:p>
    <w:p>
      <w:r>
        <w:rPr>
          <w:b w:val="0"/>
          <w:i w:val="0"/>
        </w:rPr>
      </w:r>
    </w:p>
    <w:p>
      <w:r>
        <w:rPr>
          <w:b w:val="0"/>
          <w:i w:val="0"/>
        </w:rPr>
        <w:t>Please find enclosed my manuscript, “Bulk tissue transcriptomes obscure the IDI2-AS1 / IL5 relationship through cell-composition effects across four type-2 allergic diseases,” which I would like to submit for publication as a Full-Length Research Paper in Biochemical and Biophysical Research Communications.</w:t>
      </w:r>
    </w:p>
    <w:p>
      <w:r>
        <w:rPr>
          <w:b w:val="0"/>
          <w:i w:val="0"/>
        </w:rPr>
      </w:r>
    </w:p>
    <w:p>
      <w:r>
        <w:rPr>
          <w:b w:val="0"/>
          <w:i w:val="0"/>
        </w:rPr>
        <w:t>This work is the direct in vivo-context companion to our recent mechanistic study in this journal — Endo, Kurisu, Tani, Biochem Biophys Res Commun 2025 — in which we identified the long noncoding RNA IDI2-AS1 as a negative regulator of interleukin 5 (IL5) through siRNA knock-down in HuT78 T-cells, with orthogonal validation in A549 epithelial cells. The natural follow-up question — whether the same regulatory axis is detectable in patient tissue from human IL5-driven allergic disease — is directly addressed here, and the two papers together form a paired in vitro / in vivo reading of one lncRNA–cytokine circuit.</w:t>
      </w:r>
    </w:p>
    <w:p>
      <w:r>
        <w:rPr>
          <w:b w:val="0"/>
          <w:i w:val="0"/>
        </w:rPr>
      </w:r>
    </w:p>
    <w:p>
      <w:r>
        <w:rPr>
          <w:b w:val="0"/>
          <w:i w:val="0"/>
        </w:rPr>
        <w:t>To answer this, I performed a uniform re-analysis of five public bulk RNA-seq cohorts (GSE152004, GSE121212, GSE246323, GSE58640, GSE136825; total n = 856 samples) covering four IL5-driven allergic diseases — asthma, atopic dermatitis, eosinophilic esophagitis, and chronic rhinosinusitis with nasal polyposis. The study contributes three findings: (i) patient-vs-control IDI2-AS1 expression is invariant at the bulk-tissue level in every cohort (random-effects pooled log₂FC ≈ 0; I² = 0.26 % — a converging null across studies, not noise); (ii) sample-level IDI2-AS1 and IL5 covary positively in every testable cohort (significantly so in the largest, asthma, n = 695), which is the opposite of the within-cell repressive direction predicted by the in vitro mechanism; and (iii) a bootstrap mediation-style decomposition in the asthma cohort attributes ≈ 90 % of that covariation to shared expression in the eosinophil compartment (ACME = +0.109, p = 0.002), with a within-tissue direct effect indistinguishable from zero (ADE = +0.012, p = 0.76).</w:t>
      </w:r>
    </w:p>
    <w:p>
      <w:r>
        <w:rPr>
          <w:b w:val="0"/>
          <w:i w:val="0"/>
        </w:rPr>
      </w:r>
    </w:p>
    <w:p>
      <w:r>
        <w:rPr>
          <w:b w:val="0"/>
          <w:i w:val="0"/>
        </w:rPr>
        <w:t>Bulk patient transcriptomes therefore do not recover the predicted in vitro repressive direction. The pattern is compatible with masking of any per-cell IDI2-AS1 → IL5 effect by eosinophil-driven shifts in tissue cell composition, although we cannot exclude the alternative that the in vitro repression does not generalize to patient cells. Both possibilities require cell-type-resolved follow-up for adjudication.</w:t>
      </w:r>
    </w:p>
    <w:p>
      <w:r>
        <w:rPr>
          <w:b w:val="0"/>
          <w:i w:val="0"/>
        </w:rPr>
      </w:r>
    </w:p>
    <w:p>
      <w:r>
        <w:rPr>
          <w:b w:val="0"/>
          <w:i w:val="0"/>
        </w:rPr>
        <w:t>BBRC is the natural home for this paper for three reasons. First, scientific continuity: the in vitro mechanism that this study tests in vivo was published in BBRC 2025 by the same group, so readers of the 2025 paper are the natural audience. Second, methodological fit: beyond the IDI2-AS1 / IL5 case, the manuscript introduces a reusable cell-composition-adjusted re-analysis pipeline (partial correlation conditioning on marker-signature scores, followed by bootstrap mediation decomposition) directly applicable to other low-abundance, cell-type-restricted lncRNA candidates. All code is publicly released under an MIT license. Third, scope: the lncRNA–cytokine regulatory circuit, the bulk-vs-single-cell interpretive problem it exposes, and the transcriptomic decomposition framework are squarely within the biochemical / molecular biology scope of BBRC.</w:t>
      </w:r>
    </w:p>
    <w:p>
      <w:r>
        <w:rPr>
          <w:b w:val="0"/>
          <w:i w:val="0"/>
        </w:rPr>
      </w:r>
    </w:p>
    <w:p>
      <w:r>
        <w:rPr>
          <w:b w:val="0"/>
          <w:i w:val="0"/>
        </w:rPr>
        <w:t>This is a single-author dry-analysis manuscript. The wet-lab mechanistic basis was published independently in BBRC 2025; the present study performs only computational re-analysis of publicly available datasets, generates no new sequencing data, and required no new ethics approvals beyond those of the original studies. I confirm that this manuscript has not been published elsewhere and is not under consideration by another journal. The author has no conflicts of interest to declare.</w:t>
      </w:r>
    </w:p>
    <w:p>
      <w:r>
        <w:rPr>
          <w:b w:val="0"/>
          <w:i w:val="0"/>
        </w:rPr>
      </w:r>
    </w:p>
    <w:p>
      <w:r>
        <w:rPr>
          <w:b w:val="0"/>
          <w:i w:val="0"/>
        </w:rPr>
        <w:t>Please address all correspondence to:</w:t>
      </w:r>
    </w:p>
    <w:p>
      <w:r>
        <w:rPr>
          <w:b w:val="0"/>
          <w:i w:val="0"/>
        </w:rPr>
      </w:r>
    </w:p>
    <w:p>
      <w:r>
        <w:rPr>
          <w:b w:val="0"/>
          <w:i w:val="0"/>
        </w:rPr>
        <w:t>Hidenori Tani, Ph.D.</w:t>
      </w:r>
    </w:p>
    <w:p>
      <w:r>
        <w:rPr>
          <w:b w:val="0"/>
          <w:i w:val="0"/>
        </w:rPr>
      </w:r>
    </w:p>
    <w:p>
      <w:r>
        <w:rPr>
          <w:b w:val="0"/>
          <w:i w:val="0"/>
        </w:rPr>
        <w:t>Department of Health Pharmacy</w:t>
      </w:r>
    </w:p>
    <w:p>
      <w:r>
        <w:rPr>
          <w:b w:val="0"/>
          <w:i w:val="0"/>
        </w:rPr>
        <w:t>Yokohama University of Pharmacy</w:t>
      </w:r>
    </w:p>
    <w:p>
      <w:r>
        <w:rPr>
          <w:b w:val="0"/>
          <w:i w:val="0"/>
        </w:rPr>
        <w:t>601 Matano-cho, Totsuka-ku, Yokohama 245-0066, Japan</w:t>
      </w:r>
    </w:p>
    <w:p>
      <w:r>
        <w:rPr>
          <w:b w:val="0"/>
          <w:i w:val="0"/>
        </w:rPr>
        <w:t>Tel.: +81 45 859 1300</w:t>
      </w:r>
    </w:p>
    <w:p>
      <w:r>
        <w:rPr>
          <w:b w:val="0"/>
          <w:i w:val="0"/>
        </w:rPr>
        <w:t>E-mail: hidenori.tani@yok.hamayaku.ac.jp</w:t>
      </w:r>
    </w:p>
    <w:p>
      <w:r>
        <w:rPr>
          <w:b w:val="0"/>
          <w:i w:val="0"/>
        </w:rPr>
        <w:t>ORCID: 0000-0001-6390-4136</w:t>
      </w:r>
    </w:p>
    <w:p>
      <w:r>
        <w:rPr>
          <w:b w:val="0"/>
          <w:i w:val="0"/>
        </w:rPr>
      </w:r>
    </w:p>
    <w:p>
      <w:r>
        <w:rPr>
          <w:b w:val="0"/>
          <w:i w:val="0"/>
        </w:rPr>
        <w:t>I look forward to hearing from you at your earliest convenience.</w:t>
      </w:r>
    </w:p>
    <w:p>
      <w:r>
        <w:rPr>
          <w:b w:val="0"/>
          <w:i w:val="0"/>
        </w:rPr>
      </w:r>
    </w:p>
    <w:p>
      <w:r>
        <w:rPr>
          <w:b w:val="0"/>
          <w:i w:val="0"/>
        </w:rPr>
        <w:t>Yours sincerely,</w:t>
      </w:r>
    </w:p>
    <w:p>
      <w:r>
        <w:rPr>
          <w:b w:val="0"/>
          <w:i w:val="0"/>
        </w:rPr>
      </w:r>
    </w:p>
    <w:p>
      <w:r>
        <w:rPr>
          <w:b w:val="0"/>
          <w:i w:val="0"/>
        </w:rPr>
        <w:t>Hidenori Tani, Ph.D.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