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Highlights</w:t>
      </w:r>
    </w:p>
    <w:p>
      <w:r>
        <w:rPr>
          <w:b w:val="0"/>
          <w:i w:val="0"/>
        </w:rPr>
      </w:r>
    </w:p>
    <w:p>
      <w:pPr>
        <w:pStyle w:val="ListBullet"/>
      </w:pPr>
      <w:r>
        <w:rPr>
          <w:sz w:val="22"/>
        </w:rPr>
        <w:t>Re-analysis of 5 public RNA-seq cohorts (n=856) across four IL5-driven allergies</w:t>
      </w:r>
    </w:p>
    <w:p>
      <w:pPr>
        <w:pStyle w:val="ListBullet"/>
      </w:pPr>
      <w:r>
        <w:rPr>
          <w:sz w:val="22"/>
        </w:rPr>
        <w:t>Bulk-tissue IDI2-AS1 expression is uniformly null across all cohorts (I² ≈ 0)</w:t>
      </w:r>
    </w:p>
    <w:p>
      <w:pPr>
        <w:pStyle w:val="ListBullet"/>
      </w:pPr>
      <w:r>
        <w:rPr>
          <w:sz w:val="22"/>
        </w:rPr>
        <w:t>Sample-level IDI2-AS1 covaries positively — not negatively — with IL5</w:t>
      </w:r>
    </w:p>
    <w:p>
      <w:pPr>
        <w:pStyle w:val="ListBullet"/>
      </w:pPr>
      <w:r>
        <w:rPr>
          <w:sz w:val="22"/>
        </w:rPr>
        <w:t>≈ 90 % of the covariation is mediated by the eosinophil compartment</w:t>
      </w:r>
    </w:p>
    <w:p>
      <w:pPr>
        <w:pStyle w:val="ListBullet"/>
      </w:pPr>
      <w:r>
        <w:rPr>
          <w:sz w:val="22"/>
        </w:rPr>
        <w:t>Framework is reusable for other cell-type-restricted lncRNA candidates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