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sponse-to-editor"/>
    <w:p>
      <w:pPr>
        <w:pStyle w:val="Heading1"/>
      </w:pPr>
      <w:r>
        <w:t xml:space="preserve">Response to Editor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BBRC-26-2497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Bulk tissue transcriptomes obscure the IDI2-AS1 / IL5 relationship through cell-composition effects across four type-2 allergic diseases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Hidenori Tani (Yokohama University of Pharmacy)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Dr. Lichten,</w:t>
      </w:r>
    </w:p>
    <w:p>
      <w:pPr>
        <w:pStyle w:val="BodyText"/>
      </w:pPr>
      <w:r>
        <w:t xml:space="preserve">Thank you very much for your assessment of our manuscript and for the constructive guidance regarding figure readability. I appreciate the time you took to review the submission and to point me toward the BBRC Guide for Authors and the Elsevier artwork sizing instructions.</w:t>
      </w:r>
    </w:p>
    <w:p>
      <w:pPr>
        <w:pStyle w:val="BodyText"/>
      </w:pPr>
      <w:r>
        <w:t xml:space="preserve">I have addressed both points raised in your letter. A point-by-point response follows.</w:t>
      </w:r>
    </w:p>
    <w:p>
      <w:r>
        <w:pict>
          <v:rect style="width:0;height:1.5pt" o:hralign="center" o:hrstd="t" o:hr="t"/>
        </w:pict>
      </w:r>
    </w:p>
    <w:bookmarkStart w:id="9" w:name="point-1.-figure-readability-font-size"/>
    <w:p>
      <w:pPr>
        <w:pStyle w:val="Heading2"/>
      </w:pPr>
      <w:r>
        <w:t xml:space="preserve">Point 1. Figure readability — font size</w:t>
      </w:r>
    </w:p>
    <w:p>
      <w:pPr>
        <w:pStyle w:val="FirstParagraph"/>
      </w:pPr>
      <w:r>
        <w:rPr>
          <w:b/>
          <w:bCs/>
        </w:rPr>
        <w:t xml:space="preserve">Editor’s comment.</w:t>
      </w:r>
      <w:r>
        <w:t xml:space="preserve"> </w:t>
      </w:r>
      <w:r>
        <w:t xml:space="preserve">“Many of the figures in the review copy of the manuscript are not readable; we cannot ask reviewers to spend their time on an article that cannot be clearly read. … As a rule of thumb, 6 point should be the absolute minimum size for fonts in figures (as they would appear in the final review copy); most type should be 8 point or larger. Increasing font size to meet this standard may require removing some figure panels or moving them to a supplement; please keep only those figure panels that are essential to the meaning of the manuscript.”</w:t>
      </w:r>
    </w:p>
    <w:p>
      <w:pPr>
        <w:pStyle w:val="BodyText"/>
      </w:pPr>
      <w:r>
        <w:rPr>
          <w:b/>
          <w:bCs/>
        </w:rPr>
        <w:t xml:space="preserve">Action taken.</w:t>
      </w:r>
      <w:r>
        <w:t xml:space="preserve"> </w:t>
      </w:r>
      <w:r>
        <w:t xml:space="preserve">All five main figures and one new supplementary figure have been fully redrawn so that every text element in the review-copy PDF is ≥ 8 pt. I verified this directly on the final PDFs by extracting the font size of every text span; the minimum across all main figures and Supplementary Figure 1 is now 8.1 pt, with most text at 8.9–11.9 pt. No element falls below the 6 pt absolute minimum.</w:t>
      </w:r>
    </w:p>
    <w:p>
      <w:pPr>
        <w:pStyle w:val="BodyText"/>
      </w:pPr>
      <w:r>
        <w:t xml:space="preserve">The specific changes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Before (review copy)</w:t>
            </w:r>
          </w:p>
        </w:tc>
        <w:tc>
          <w:tcPr/>
          <w:p>
            <w:pPr>
              <w:pStyle w:val="Compact"/>
            </w:pPr>
            <w:r>
              <w:t xml:space="preserve">After (review copy)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 (study design)</w:t>
            </w:r>
          </w:p>
        </w:tc>
        <w:tc>
          <w:tcPr/>
          <w:p>
            <w:pPr>
              <w:pStyle w:val="Compact"/>
            </w:pPr>
            <w:r>
              <w:t xml:space="preserve">Source canvas reduced from 11.69 × 8.27 in to 9.0 × 7.2 in; all label fonts raised to ≥ 11 pt at source; sub/superscripts (log₂,</w:t>
            </w:r>
            <w:r>
              <w:t xml:space="preserve"> </w:t>
            </w:r>
            <w:r>
              <w:rPr>
                <w:i/>
                <w:iCs/>
              </w:rPr>
              <w:t xml:space="preserve">I</w:t>
            </w:r>
            <w:r>
              <w:t xml:space="preserve">²) replaced with Unicode glyphs so every glyph renders at the declared 11 pt rather than the plotmath 0.66 × parent default</w:t>
            </w:r>
          </w:p>
        </w:tc>
        <w:tc>
          <w:tcPr/>
          <w:p>
            <w:pPr>
              <w:pStyle w:val="Compact"/>
            </w:pPr>
            <w:r>
              <w:t xml:space="preserve">min 3.7 pt</w:t>
            </w:r>
          </w:p>
        </w:tc>
        <w:tc>
          <w:tcPr/>
          <w:p>
            <w:pPr>
              <w:pStyle w:val="Compact"/>
            </w:pPr>
            <w:r>
              <w:t xml:space="preserve">min 8.1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 (forest plots)</w:t>
            </w:r>
          </w:p>
        </w:tc>
        <w:tc>
          <w:tcPr/>
          <w:p>
            <w:pPr>
              <w:pStyle w:val="Compact"/>
            </w:pPr>
            <w:r>
              <w:t xml:space="preserve">Unchanged (already met the threshold)</w:t>
            </w:r>
          </w:p>
        </w:tc>
        <w:tc>
          <w:tcPr/>
          <w:p>
            <w:pPr>
              <w:pStyle w:val="Compact"/>
            </w:pPr>
            <w:r>
              <w:t xml:space="preserve">min 8.9 pt</w:t>
            </w:r>
          </w:p>
        </w:tc>
        <w:tc>
          <w:tcPr/>
          <w:p>
            <w:pPr>
              <w:pStyle w:val="Compact"/>
            </w:pPr>
            <w:r>
              <w:t xml:space="preserve">min 8.9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 (correlation scatter)</w:t>
            </w:r>
          </w:p>
        </w:tc>
        <w:tc>
          <w:tcPr/>
          <w:p>
            <w:pPr>
              <w:pStyle w:val="Compact"/>
            </w:pPr>
            <w:r>
              <w:t xml:space="preserve">Source canvas reduced from 11 × 7 in to 9 × 7 in; ggplot</w:t>
            </w:r>
            <w:r>
              <w:t xml:space="preserve"> </w:t>
            </w:r>
            <w:r>
              <w:rPr>
                <w:rStyle w:val="VerbatimChar"/>
              </w:rPr>
              <w:t xml:space="preserve">base_size</w:t>
            </w:r>
            <w:r>
              <w:t xml:space="preserve"> </w:t>
            </w:r>
            <w:r>
              <w:t xml:space="preserve">raised from 11 to 12; strip and axis text raised to 11 pt</w:t>
            </w:r>
          </w:p>
        </w:tc>
        <w:tc>
          <w:tcPr/>
          <w:p>
            <w:pPr>
              <w:pStyle w:val="Compact"/>
            </w:pPr>
            <w:r>
              <w:t xml:space="preserve">min 5.5 pt</w:t>
            </w:r>
          </w:p>
        </w:tc>
        <w:tc>
          <w:tcPr/>
          <w:p>
            <w:pPr>
              <w:pStyle w:val="Compact"/>
            </w:pPr>
            <w:r>
              <w:t xml:space="preserve">min 8.1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 (cell-type-adjusted scatter)</w:t>
            </w:r>
          </w:p>
        </w:tc>
        <w:tc>
          <w:tcPr/>
          <w:p>
            <w:pPr>
              <w:pStyle w:val="Compact"/>
            </w:pPr>
            <w:r>
              <w:t xml:space="preserve">Restructured from a 3-row × 5-column composite (raw / eosinophil signature / Th2 signature) to a 2-panel composite showing only the raw scatter (panel A) and the eosinophil signature scatter (panel B). The Th2 / type-2 signature row was the least essential to the principal mediation finding and has been moved to</w:t>
            </w:r>
            <w:r>
              <w:t xml:space="preserve"> </w:t>
            </w:r>
            <w:r>
              <w:rPr>
                <w:b/>
                <w:bCs/>
              </w:rPr>
              <w:t xml:space="preserve">Supplementary Figure 1</w:t>
            </w:r>
            <w:r>
              <w:t xml:space="preserve"> </w:t>
            </w:r>
            <w:r>
              <w:t xml:space="preserve">in accordance with your suggestion. Source canvas 14 × 11 in → 9 × 6.6 in;</w:t>
            </w:r>
            <w:r>
              <w:t xml:space="preserve"> </w:t>
            </w:r>
            <w:r>
              <w:rPr>
                <w:rStyle w:val="VerbatimChar"/>
              </w:rPr>
              <w:t xml:space="preserve">base_size</w:t>
            </w:r>
            <w:r>
              <w:t xml:space="preserve"> </w:t>
            </w:r>
            <w:r>
              <w:t xml:space="preserve">9–10 → 12; strip and axis text 11 pt</w:t>
            </w:r>
          </w:p>
        </w:tc>
        <w:tc>
          <w:tcPr/>
          <w:p>
            <w:pPr>
              <w:pStyle w:val="Compact"/>
            </w:pPr>
            <w:r>
              <w:t xml:space="preserve">min 3.3 pt</w:t>
            </w:r>
          </w:p>
        </w:tc>
        <w:tc>
          <w:tcPr/>
          <w:p>
            <w:pPr>
              <w:pStyle w:val="Compact"/>
            </w:pPr>
            <w:r>
              <w:t xml:space="preserve">min 8.1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 (specificity heatmaps)</w:t>
            </w:r>
          </w:p>
        </w:tc>
        <w:tc>
          <w:tcPr/>
          <w:p>
            <w:pPr>
              <w:pStyle w:val="Compact"/>
            </w:pPr>
            <w:r>
              <w:t xml:space="preserve">In-cell value labels raised from 8 pt to 11 pt; row / column names, column title, and annotation legend explicitly set to 12 pt; PDF height increased to prevent label–cell collisions</w:t>
            </w:r>
          </w:p>
        </w:tc>
        <w:tc>
          <w:tcPr/>
          <w:p>
            <w:pPr>
              <w:pStyle w:val="Compact"/>
            </w:pPr>
            <w:r>
              <w:t xml:space="preserve">min 5.9 pt</w:t>
            </w:r>
          </w:p>
        </w:tc>
        <w:tc>
          <w:tcPr/>
          <w:p>
            <w:pPr>
              <w:pStyle w:val="Compact"/>
            </w:pPr>
            <w:r>
              <w:t xml:space="preserve">min 8.1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Figure 1 (new)</w:t>
            </w:r>
          </w:p>
        </w:tc>
        <w:tc>
          <w:tcPr/>
          <w:p>
            <w:pPr>
              <w:pStyle w:val="Compact"/>
            </w:pPr>
            <w:r>
              <w:t xml:space="preserve">New supplementary figure containing the</w:t>
            </w:r>
            <w:r>
              <w:t xml:space="preserve"> </w:t>
            </w:r>
            <w:r>
              <w:rPr>
                <w:i/>
                <w:iCs/>
              </w:rPr>
              <w:t xml:space="preserve">IDI2-AS1</w:t>
            </w:r>
            <w:r>
              <w:t xml:space="preserve"> </w:t>
            </w:r>
            <w:r>
              <w:t xml:space="preserve">vs Th2 / type-2 signature scatter previously shown as the bottom row of Figure 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min 8.1 pt</w:t>
            </w:r>
          </w:p>
        </w:tc>
      </w:tr>
    </w:tbl>
    <w:p>
      <w:pPr>
        <w:pStyle w:val="BodyText"/>
      </w:pPr>
      <w:r>
        <w:t xml:space="preserve">In addition, every source figure is rendered at 9 in wide so that the post-processing scale to BBRC’s 480 pt (≈ 6.67 in, double-column) content width applies only a 0.74 × shrink. With ≥ 11 pt at source this guarantees ≥ 8.15 pt in the final review copy, with comfortable margin above the 6 pt absolute floor.</w:t>
      </w:r>
    </w:p>
    <w:p>
      <w:pPr>
        <w:pStyle w:val="BodyText"/>
      </w:pPr>
      <w:r>
        <w:t xml:space="preserve">The figure-legend file has been updated (</w:t>
      </w:r>
      <w:r>
        <w:rPr>
          <w:rStyle w:val="VerbatimChar"/>
        </w:rPr>
        <w:t xml:space="preserve">manuscript/07_figure_legends_v2.md</w:t>
      </w:r>
      <w:r>
        <w:t xml:space="preserve">) to reflect the new Figure 4 panel structure (A + B only) and to add a Supplementary Figure 1 legend. The statistical content of Figure 4 is unchanged — the mediation analysis, partial correlation, and per-cohort raw correlation use the same point data and the same numerical values as in the original submission; only the layout has changed.</w:t>
      </w:r>
    </w:p>
    <w:p>
      <w:pPr>
        <w:pStyle w:val="BodyText"/>
      </w:pPr>
      <w:r>
        <w:t xml:space="preserve">Files affected: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results/figures/submission_v2_tiff/Figure1.tif</w:t>
      </w:r>
      <w:r>
        <w:t xml:space="preserve"> </w:t>
      </w:r>
      <w:r>
        <w:t xml:space="preserve">— Figure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results/figures/submission_v2_tiff/Figure2.tif</w:t>
      </w:r>
      <w:r>
        <w:t xml:space="preserve"> </w:t>
      </w:r>
      <w:r>
        <w:t xml:space="preserve">— Figure 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results/figures/submission_v2_tiff/Figure3.tif</w:t>
      </w:r>
      <w:r>
        <w:t xml:space="preserve"> </w:t>
      </w:r>
      <w:r>
        <w:t xml:space="preserve">— Figure 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results/figures/submission_v2_tiff/Figure4.tif</w:t>
      </w:r>
      <w:r>
        <w:t xml:space="preserve"> </w:t>
      </w:r>
      <w:r>
        <w:t xml:space="preserve">— Figure 4 (new 2-panel layout)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results/figures/submission_v2_tiff/Figure5.tif</w:t>
      </w:r>
      <w:r>
        <w:t xml:space="preserve"> </w:t>
      </w:r>
      <w:r>
        <w:t xml:space="preserve">— Figure 5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results/figures/submission_v2_tiff/SuppFigure1.tif</w:t>
      </w:r>
      <w:r>
        <w:t xml:space="preserve"> </w:t>
      </w:r>
      <w:r>
        <w:t xml:space="preserve">— Supplementary Figure 1 (new)</w:t>
      </w:r>
    </w:p>
    <w:p>
      <w:pPr>
        <w:pStyle w:val="FirstParagraph"/>
      </w:pPr>
      <w:r>
        <w:t xml:space="preserve">All figures are LZW-compressed TIFFs rendered at 600 dpi (exceeds Elsevier’s 500 dpi minimum for combination art); RGB color; embedded within the 174 mm (6.85 in) double-column width.</w:t>
      </w:r>
    </w:p>
    <w:p>
      <w:pPr>
        <w:pStyle w:val="BodyText"/>
      </w:pPr>
      <w:r>
        <w:t xml:space="preserve">Underlying analysis code: new versions of the relevant scripts have been deposited alongside the originals (</w:t>
      </w:r>
      <w:r>
        <w:rPr>
          <w:rStyle w:val="VerbatimChar"/>
        </w:rPr>
        <w:t xml:space="preserve">code/R/11_fig1_study_design_v2.R</w:t>
      </w:r>
      <w:r>
        <w:t xml:space="preserve">,</w:t>
      </w:r>
      <w:r>
        <w:t xml:space="preserve"> </w:t>
      </w:r>
      <w:r>
        <w:rPr>
          <w:rStyle w:val="VerbatimChar"/>
        </w:rPr>
        <w:t xml:space="preserve">07_correlation_analysis_v2.R</w:t>
      </w:r>
      <w:r>
        <w:t xml:space="preserve">,</w:t>
      </w:r>
      <w:r>
        <w:t xml:space="preserve"> </w:t>
      </w:r>
      <w:r>
        <w:rPr>
          <w:rStyle w:val="VerbatimChar"/>
        </w:rPr>
        <w:t xml:space="preserve">09b_fig4_replot_v2.R</w:t>
      </w:r>
      <w:r>
        <w:t xml:space="preserve">,</w:t>
      </w:r>
      <w:r>
        <w:t xml:space="preserve"> </w:t>
      </w:r>
      <w:r>
        <w:rPr>
          <w:rStyle w:val="VerbatimChar"/>
        </w:rPr>
        <w:t xml:space="preserve">10_specificity_heatmaps_v2.R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manuscript/build_labeled_figures_v2.py</w:t>
      </w:r>
      <w:r>
        <w:t xml:space="preserve">) so that the figure regeneration is fully reproducible.</w:t>
      </w:r>
    </w:p>
    <w:bookmarkEnd w:id="9"/>
    <w:bookmarkStart w:id="10" w:name="point-2.-highlights-as-a-separate-file"/>
    <w:p>
      <w:pPr>
        <w:pStyle w:val="Heading2"/>
      </w:pPr>
      <w:r>
        <w:t xml:space="preserve">Point 2. Highlights as a separate file</w:t>
      </w:r>
    </w:p>
    <w:p>
      <w:pPr>
        <w:pStyle w:val="FirstParagraph"/>
      </w:pPr>
      <w:r>
        <w:rPr>
          <w:b/>
          <w:bCs/>
        </w:rPr>
        <w:t xml:space="preserve">Editor’s comment.</w:t>
      </w:r>
      <w:r>
        <w:t xml:space="preserve"> </w:t>
      </w:r>
      <w:r>
        <w:t xml:space="preserve">“Highlights are mandatory. They consist of a short collection of bullet points that convey the core findings of the article and should be submitted in a separate file in the online submission system. Please use</w:t>
      </w:r>
      <w:r>
        <w:t xml:space="preserve"> </w:t>
      </w:r>
      <w:r>
        <w:t xml:space="preserve">‘Highlights’</w:t>
      </w:r>
      <w:r>
        <w:t xml:space="preserve"> </w:t>
      </w:r>
      <w:r>
        <w:t xml:space="preserve">in the file name and include 3 to 5 bullet points (maximum 85 characters, including spaces, per bullet point).”</w:t>
      </w:r>
    </w:p>
    <w:p>
      <w:pPr>
        <w:pStyle w:val="BodyText"/>
      </w:pPr>
      <w:r>
        <w:rPr>
          <w:b/>
          <w:bCs/>
        </w:rPr>
        <w:t xml:space="preserve">Action taken.</w:t>
      </w:r>
      <w:r>
        <w:t xml:space="preserve"> </w:t>
      </w:r>
      <w:r>
        <w:t xml:space="preserve">A file named</w:t>
      </w:r>
      <w:r>
        <w:t xml:space="preserve"> </w:t>
      </w:r>
      <w:r>
        <w:rPr>
          <w:rStyle w:val="VerbatimChar"/>
          <w:b/>
          <w:bCs/>
        </w:rPr>
        <w:t xml:space="preserve">Highlights_BBRC.docx</w:t>
      </w:r>
      <w:r>
        <w:t xml:space="preserve"> </w:t>
      </w:r>
      <w:r>
        <w:t xml:space="preserve">has been uploaded as a separate file in this revision. It contains five bullet points conveying the core findings; every bullet is ≤ 80 characters (well within the 85-character limit). The content of the five bullets is:</w:t>
      </w:r>
    </w:p>
    <w:p>
      <w:pPr>
        <w:pStyle w:val="Compact"/>
        <w:numPr>
          <w:ilvl w:val="0"/>
          <w:numId w:val="1002"/>
        </w:numPr>
      </w:pPr>
      <w:r>
        <w:t xml:space="preserve">Re-analysis of 5 public RNA-seq cohorts (n=856) across four IL5-driven allergies (80 chars)</w:t>
      </w:r>
    </w:p>
    <w:p>
      <w:pPr>
        <w:pStyle w:val="Compact"/>
        <w:numPr>
          <w:ilvl w:val="0"/>
          <w:numId w:val="1002"/>
        </w:numPr>
      </w:pPr>
      <w:r>
        <w:t xml:space="preserve">Bulk-tissue IDI2-AS1 expression is uniformly null across all cohorts (I² ≈ 0) (77 chars)</w:t>
      </w:r>
    </w:p>
    <w:p>
      <w:pPr>
        <w:pStyle w:val="Compact"/>
        <w:numPr>
          <w:ilvl w:val="0"/>
          <w:numId w:val="1002"/>
        </w:numPr>
      </w:pPr>
      <w:r>
        <w:t xml:space="preserve">Sample-level IDI2-AS1 covaries positively — not negatively — with IL5 (69 chars)</w:t>
      </w:r>
    </w:p>
    <w:p>
      <w:pPr>
        <w:pStyle w:val="Compact"/>
        <w:numPr>
          <w:ilvl w:val="0"/>
          <w:numId w:val="1002"/>
        </w:numPr>
      </w:pPr>
      <w:r>
        <w:t xml:space="preserve">≈ 90 % of the covariation is mediated by the eosinophil compartment (67 chars)</w:t>
      </w:r>
    </w:p>
    <w:p>
      <w:pPr>
        <w:pStyle w:val="Compact"/>
        <w:numPr>
          <w:ilvl w:val="0"/>
          <w:numId w:val="1002"/>
        </w:numPr>
      </w:pPr>
      <w:r>
        <w:t xml:space="preserve">Framework is reusable for other cell-type-restricted lncRNA candidates (70 chars)</w:t>
      </w:r>
    </w:p>
    <w:p>
      <w:r>
        <w:pict>
          <v:rect style="width:0;height:1.5pt" o:hralign="center" o:hrstd="t" o:hr="t"/>
        </w:pict>
      </w:r>
    </w:p>
    <w:bookmarkEnd w:id="10"/>
    <w:bookmarkStart w:id="11" w:name="Xa94329ac02c5c426f7423d5ed113cf42cdf3f5e"/>
    <w:p>
      <w:pPr>
        <w:pStyle w:val="Heading2"/>
      </w:pPr>
      <w:r>
        <w:t xml:space="preserve">Summary of new and modified files in this revision</w:t>
      </w:r>
    </w:p>
    <w:p>
      <w:pPr>
        <w:pStyle w:val="FirstParagraph"/>
      </w:pPr>
      <w:r>
        <w:rPr>
          <w:b/>
          <w:bCs/>
        </w:rPr>
        <w:t xml:space="preserve">New / replaced files uploaded to Editorial Manager: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Figure1.tif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Figure5.tif</w:t>
      </w:r>
      <w:r>
        <w:t xml:space="preserve"> </w:t>
      </w:r>
      <w:r>
        <w:t xml:space="preserve">(five redrawn main figures, LZW-compressed TIFF at 600 dpi)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SuppFigure1.tif</w:t>
      </w:r>
      <w:r>
        <w:t xml:space="preserve"> </w:t>
      </w:r>
      <w:r>
        <w:t xml:space="preserve">(new supplementary figure containing the moved Th2 panel, LZW-compressed TIFF at 600 dpi)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Highlights_BBRC.docx</w:t>
      </w:r>
      <w:r>
        <w:t xml:space="preserve"> </w:t>
      </w:r>
      <w:r>
        <w:t xml:space="preserve">(already present in the original submission; re-confirmed as a separate file in this revision)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Response_to_Reviewers_BBRC_v2.docx</w:t>
      </w:r>
      <w:r>
        <w:t xml:space="preserve"> </w:t>
      </w:r>
      <w:r>
        <w:t xml:space="preserve">(this letter — named to match the Editorial Manager upload slot</w:t>
      </w:r>
      <w:r>
        <w:t xml:space="preserve"> </w:t>
      </w:r>
      <w:r>
        <w:t xml:space="preserve">“Response to Reviewers”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full_manuscript_bbrc_v2.docx</w:t>
      </w:r>
      <w:r>
        <w:t xml:space="preserve"> </w:t>
      </w:r>
      <w:r>
        <w:t xml:space="preserve">(updated figure-legend section: Figure 4 now A + B; new Supplementary Figure 1 legend added; two one-word body-text updates noted below)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Revised_Manuscript_with_Changes_Marked.docx</w:t>
      </w:r>
      <w:r>
        <w:t xml:space="preserve"> </w:t>
      </w:r>
      <w:r>
        <w:t xml:space="preserve">(v2 manuscript with all differences from the original submission shown as Word tracked revisions — Review pane can accept/reject each change)</w:t>
      </w:r>
    </w:p>
    <w:p>
      <w:pPr>
        <w:pStyle w:val="FirstParagraph"/>
      </w:pPr>
      <w:r>
        <w:rPr>
          <w:b/>
          <w:bCs/>
        </w:rPr>
        <w:t xml:space="preserve">Minor body-text changes consequent to the Figure 4 restructure:</w:t>
      </w:r>
    </w:p>
    <w:p>
      <w:pPr>
        <w:pStyle w:val="Compact"/>
        <w:numPr>
          <w:ilvl w:val="0"/>
          <w:numId w:val="1004"/>
        </w:numPr>
      </w:pPr>
      <w:r>
        <w:t xml:space="preserve">Methods, subsection</w:t>
      </w:r>
      <w:r>
        <w:t xml:space="preserve"> </w:t>
      </w:r>
      <w:r>
        <w:t xml:space="preserve">“Sample-level correlation and cell-type-adjusted analysis”</w:t>
      </w:r>
      <w:r>
        <w:t xml:space="preserve">: the parenthetical figure callout changed from</w:t>
      </w:r>
      <w:r>
        <w:t xml:space="preserve"> </w:t>
      </w:r>
      <w:r>
        <w:t xml:space="preserve">“(Fig. 4; Table 3)”</w:t>
      </w:r>
      <w:r>
        <w:t xml:space="preserve"> </w:t>
      </w:r>
      <w:r>
        <w:t xml:space="preserve">to</w:t>
      </w:r>
      <w:r>
        <w:t xml:space="preserve"> </w:t>
      </w:r>
      <w:r>
        <w:t xml:space="preserve">“(Fig. 4 and Supplementary Fig. 1; Table 3)”</w:t>
      </w:r>
      <w:r>
        <w:t xml:space="preserve"> </w:t>
      </w:r>
      <w:r>
        <w:t xml:space="preserve">so that the Th2 / type-2 signature visualization, now in Supplementary Figure 1, is still pointed to from the body text.</w:t>
      </w:r>
    </w:p>
    <w:p>
      <w:pPr>
        <w:pStyle w:val="Compact"/>
        <w:numPr>
          <w:ilvl w:val="0"/>
          <w:numId w:val="1004"/>
        </w:numPr>
      </w:pPr>
      <w:r>
        <w:t xml:space="preserve">Results, subsection</w:t>
      </w:r>
      <w:r>
        <w:t xml:space="preserve"> </w:t>
      </w:r>
      <w:r>
        <w:t xml:space="preserve">“The tissue-level</w:t>
      </w:r>
      <w:r>
        <w:t xml:space="preserve"> </w:t>
      </w:r>
      <w:r>
        <w:rPr>
          <w:i/>
          <w:iCs/>
        </w:rPr>
        <w:t xml:space="preserve">IDI2-AS1</w:t>
      </w:r>
      <w:r>
        <w:t xml:space="preserve"> </w:t>
      </w:r>
      <w:r>
        <w:t xml:space="preserve">↔</w:t>
      </w:r>
      <w:r>
        <w:t xml:space="preserve"> </w:t>
      </w:r>
      <w:r>
        <w:rPr>
          <w:i/>
          <w:iCs/>
        </w:rPr>
        <w:t xml:space="preserve">IL5</w:t>
      </w:r>
      <w:r>
        <w:t xml:space="preserve"> </w:t>
      </w:r>
      <w:r>
        <w:t xml:space="preserve">association is mediated by eosinophil composition”</w:t>
      </w:r>
      <w:r>
        <w:t xml:space="preserve">: the same callout update.</w:t>
      </w:r>
    </w:p>
    <w:p>
      <w:pPr>
        <w:pStyle w:val="Compact"/>
        <w:numPr>
          <w:ilvl w:val="0"/>
          <w:numId w:val="1004"/>
        </w:numPr>
      </w:pPr>
      <w:r>
        <w:t xml:space="preserve">The numerical content (partial correlation values, mediation ACME / ADE, table data) is unchanged in both sections — only the figure pointer was edited.</w:t>
      </w:r>
    </w:p>
    <w:p>
      <w:pPr>
        <w:pStyle w:val="FirstParagraph"/>
      </w:pPr>
      <w:r>
        <w:rPr>
          <w:b/>
          <w:bCs/>
        </w:rPr>
        <w:t xml:space="preserve">Files not changed:</w:t>
      </w:r>
    </w:p>
    <w:p>
      <w:pPr>
        <w:pStyle w:val="Compact"/>
        <w:numPr>
          <w:ilvl w:val="0"/>
          <w:numId w:val="1005"/>
        </w:numPr>
      </w:pPr>
      <w:r>
        <w:t xml:space="preserve">Abstract, Introduction, Discussion, Conclusion — unchanged.</w:t>
      </w:r>
    </w:p>
    <w:p>
      <w:pPr>
        <w:pStyle w:val="Compact"/>
        <w:numPr>
          <w:ilvl w:val="0"/>
          <w:numId w:val="1005"/>
        </w:numPr>
      </w:pPr>
      <w:r>
        <w:t xml:space="preserve">Tables 1–3 — unchanged.</w:t>
      </w:r>
    </w:p>
    <w:p>
      <w:pPr>
        <w:pStyle w:val="Compact"/>
        <w:numPr>
          <w:ilvl w:val="0"/>
          <w:numId w:val="1005"/>
        </w:numPr>
      </w:pPr>
      <w:r>
        <w:t xml:space="preserve">Cover Letter, Declaration of Interest — unchanged.</w:t>
      </w:r>
    </w:p>
    <w:p>
      <w:pPr>
        <w:pStyle w:val="FirstParagraph"/>
      </w:pPr>
      <w:r>
        <w:t xml:space="preserve">I am happy to make any further adjustments you may suggest, and I look forward to the opportunity for the manuscript to enter peer review.</w:t>
      </w:r>
    </w:p>
    <w:p>
      <w:pPr>
        <w:pStyle w:val="BodyText"/>
      </w:pPr>
      <w:r>
        <w:t xml:space="preserve">With sincere thanks for your guidance,</w:t>
      </w:r>
    </w:p>
    <w:p>
      <w:pPr>
        <w:pStyle w:val="BodyText"/>
      </w:pPr>
      <w:r>
        <w:t xml:space="preserve">Hidenori Tani</w:t>
      </w:r>
      <w:r>
        <w:t xml:space="preserve"> </w:t>
      </w:r>
      <w:r>
        <w:t xml:space="preserve">Associate Professor, Department of Health Pharmacy</w:t>
      </w:r>
      <w:r>
        <w:t xml:space="preserve"> </w:t>
      </w:r>
      <w:r>
        <w:t xml:space="preserve">Yokohama University of Pharmacy</w:t>
      </w:r>
      <w:r>
        <w:t xml:space="preserve"> </w:t>
      </w:r>
      <w:r>
        <w:t xml:space="preserve">601 Matano-cho, Totsuka-ku, Yokohama 245-0066, Japan</w:t>
      </w:r>
      <w:r>
        <w:t xml:space="preserve"> </w:t>
      </w:r>
      <w:r>
        <w:t xml:space="preserve">hidenori.tani@yok.hamayaku.ac.jp</w:t>
      </w:r>
      <w:r>
        <w:t xml:space="preserve"> </w:t>
      </w:r>
      <w:r>
        <w:t xml:space="preserve">ORCID: 0000-0001-6390-4136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2026-05-12T06:10:44Z</dcterms:created>
  <dcterms:modified xsi:type="dcterms:W3CDTF">2026-05-12T06:10:44Z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