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Table 1. Public bulk RNA-seq cohorts re-analyzed in this study.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Disease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20"/>
              </w:rPr>
              <w:t>GEO accession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Tissue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20"/>
              </w:rPr>
              <w:t>Patients (n)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20"/>
              </w:rPr>
              <w:t>Controls (n)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Quantification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20"/>
              </w:rPr>
              <w:t>Reference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20"/>
              </w:rPr>
              <w:t>Asthma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GSE152004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Nasal epithelium (brushing)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388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307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695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Illumina HiSeq 2000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Raw counts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Sajuthi et al., 2020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20"/>
              </w:rPr>
              <w:t>Atopic dermatitis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GSE121212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Lesional skin / healthy control biopsy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38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65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Illumina HiSeq 2500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Raw counts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Tsoi et al., 2019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20"/>
              </w:rPr>
              <w:t>Eosinophilic esophagitis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GSE246323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Esophageal biopsy (baseline)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Illumina NovaSeq 6000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Raw counts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Kleuskens et al., 2024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20"/>
              </w:rPr>
              <w:t>Eosinophilic esophagitis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GSE58640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Esophageal biopsy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Illumina HiSeq 2000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FPKM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Sherrill et al., 2014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20"/>
              </w:rPr>
              <w:t>Chronic rhinosinusitis with nasal polyposis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GSE136825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Nasal polyp / control inferior turbinate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Illumina HiSeq 4000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Raw counts (featureCounts)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Peng et al., 2019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20"/>
              </w:rPr>
              <w:t>Combined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472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384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  <w:t>856</w:t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08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Three additional candidate datasets (GSE201955, GSE65832, GSE179269) were excluded because IDI2-AS1 was absent from the available processed expression matrix or because per-sample raw data could not be recovered without re-quantification from SRA. For GSE136825, paired within-patient nasal-polyp / inferior-turbinate samples (NP_IT, n = 33) were excluded so that the case/control contrast in this cohort was structurally comparable to the four other cohorts (NP tissue vs healthy-donor inferior turbinate).</w:t>
      </w:r>
    </w:p>
    <w:p>
      <w:r>
        <w:br w:type="page"/>
      </w:r>
    </w:p>
    <w:p>
      <w:r>
        <w:rPr>
          <w:b/>
          <w:i w:val="0"/>
        </w:rPr>
        <w:t>Table 2. Per-dataset and meta-analytic patient-vs-control differential expression for IDI2-AS1 and IL5.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Gene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Disease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GEO</w:t>
            </w:r>
          </w:p>
        </w:tc>
        <w:tc>
          <w:tcPr>
            <w:tcW w:type="dxa" w:w="1531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log₂FC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SE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pₐₑ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20"/>
              </w:rPr>
              <w:t>IDI2-AS1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Asthma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GSE152004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DESeq2 + apeglm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+0.0015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0.033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0.94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Atopic dermatitis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GSE121212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DESeq2 + apeglm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−0.234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0.274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0.41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Eos. esophagitis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GSE246323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DESeq2 + apeglm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−0.036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0.145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0.50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Eos. esophagitis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GSE58640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limma-trend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+0.247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0.148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CRSwNP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GSE136825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DESeq2 + apeglm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−2.8 × 10⁻⁶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0.0014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0.54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Meta-analysis (k = 5)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REML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+5.1 × 10⁻⁵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[−0.005, +0.005]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0.98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Heterogeneity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I² = 0.26 %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Q p = 0.47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20"/>
              </w:rPr>
              <w:t>IL5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Asthma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GSE152004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DESeq2 + apeglm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+0.424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0.232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0.014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Atopic dermatitis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GSE121212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DESeq2 + apeglm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−0.264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0.325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0.39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Eos. esophagitis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GSE58640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limma-trend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+0.609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0.159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0.002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CRSwNP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GSE136825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DESeq2 + apeglm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+1.0 × 10⁻⁶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0.0014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0.78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Meta-analysis (k = 4)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REML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+0.216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[−0.148, +0.580]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0.25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Heterogeneity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I² = 82.0 %</w:t>
            </w:r>
          </w:p>
        </w:tc>
        <w:tc>
          <w:tcPr>
            <w:tcW w:type="dxa" w:w="1425"/>
          </w:tcPr>
          <w:p>
            <w:r/>
            <w:r>
              <w:rPr>
                <w:sz w:val="20"/>
              </w:rPr>
              <w:t>Q p = 3.3 × 10⁻⁴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IL5 was below the rowSum ≥ 10 count threshold in GSE246323 and is therefore not included in the IL5 meta-analysis. Meta-analytic estimates use a random-effects REML model (metafor::rma).</w:t>
      </w:r>
    </w:p>
    <w:p>
      <w:r>
        <w:br w:type="page"/>
      </w:r>
    </w:p>
    <w:p>
      <w:r>
        <w:rPr>
          <w:b/>
          <w:i w:val="0"/>
        </w:rPr>
        <w:t>Table 3. Sample-level IDI2-AS1 ↔ IL5 association: raw, cell-type-adjusted, and mediation-style decomposition.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Cohort</w:t>
            </w:r>
          </w:p>
        </w:tc>
        <w:tc>
          <w:tcPr>
            <w:tcW w:type="dxa" w:w="51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20"/>
              </w:rPr>
              <w:t>Raw ρ</w:t>
            </w:r>
          </w:p>
        </w:tc>
        <w:tc>
          <w:tcPr>
            <w:tcW w:type="dxa" w:w="624"/>
          </w:tcPr>
          <w:p>
            <w:r/>
            <w:r>
              <w:rPr>
                <w:b/>
                <w:sz w:val="20"/>
              </w:rPr>
              <w:t>raw p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20"/>
              </w:rPr>
              <w:t>Partial ρ (| eos + Th2)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20"/>
              </w:rPr>
              <w:t>partial p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20"/>
              </w:rPr>
              <w:t>ACME (eos.)</w:t>
            </w:r>
          </w:p>
        </w:tc>
        <w:tc>
          <w:tcPr>
            <w:tcW w:type="dxa" w:w="1304"/>
          </w:tcPr>
          <w:p>
            <w:r/>
            <w:r>
              <w:rPr>
                <w:b/>
                <w:sz w:val="20"/>
              </w:rPr>
              <w:t>ACME 95 % CI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20"/>
              </w:rPr>
              <w:t>ACME p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20"/>
              </w:rPr>
              <w:t>ADE</w:t>
            </w:r>
          </w:p>
        </w:tc>
        <w:tc>
          <w:tcPr>
            <w:tcW w:type="dxa" w:w="624"/>
          </w:tcPr>
          <w:p>
            <w:r/>
            <w:r>
              <w:rPr>
                <w:b/>
                <w:sz w:val="20"/>
              </w:rPr>
              <w:t>ADE p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20"/>
              </w:rPr>
              <w:t>Prop. mediated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20"/>
              </w:rPr>
              <w:t>Asthma (GSE152004)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695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+0.109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0.004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+0.052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0.17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+0.109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[+0.041, +0.176]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0.002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+0.012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0.76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0.90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20"/>
              </w:rPr>
              <w:t>Eos. esophagitis (GSE58640)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+0.489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0.054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+0.425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0.13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20"/>
              </w:rPr>
              <w:t>CRSwNP (GSE136825)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+0.085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0.48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+0.135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0.27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−0.028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[−0.086, +0.005]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0.13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+0.096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0.25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(n.s.)</w:t>
            </w:r>
          </w:p>
        </w:tc>
      </w:tr>
      <w:tr>
        <w:tc>
          <w:tcPr>
            <w:tcW w:type="dxa" w:w="831"/>
          </w:tcPr>
          <w:p>
            <w:r/>
            <w:r>
              <w:rPr>
                <w:sz w:val="20"/>
              </w:rPr>
              <w:t>Atopic dermatitis (GSE121212)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65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+0.060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0.63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+0.010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0.94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+0.054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[−0.006, +0.170]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0.10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−0.033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0.78</w:t>
            </w:r>
          </w:p>
        </w:tc>
        <w:tc>
          <w:tcPr>
            <w:tcW w:type="dxa" w:w="831"/>
          </w:tcPr>
          <w:p>
            <w:r/>
            <w:r>
              <w:rPr>
                <w:sz w:val="20"/>
              </w:rPr>
              <w:t>(n.s.)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Partial Spearman correlation conditions on per-sample eosinophil and Th2 marker-signature scores (ppcor::pcor.test). The mediation-style decomposition (mediation::mediate; 1,000 nonparametric bootstrap resamples; percentile CIs) was reported only in the asthma cohort with sufficient power (n = 695); estimates from the smaller cohorts are listed for transparency but are underpowered (n &lt; 100) and should be interpreted as directional only. Because the underlying data are cross-sectional observational measurements, the ACME / ADE values describe a statistical decomposition under the assumed mediator–outcome model, not a strict counterfactual causal effect. The 0.90 proportion mediated in the asthma cohort means that ≈ 90 % of the apparent IDI2-AS1 ↔ IL5 association is statistically attributable to shared expression in the eosinophil compartment, leaving a within-tissue direct effect indistinguishable from zero (ADE p = 0.76).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