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title-page"/>
    <w:p>
      <w:pPr>
        <w:pStyle w:val="Heading1"/>
      </w:pPr>
      <w:r>
        <w:t xml:space="preserve">Title page</w:t>
      </w:r>
    </w:p>
    <w:p>
      <w:pPr>
        <w:pStyle w:val="FirstParagraph"/>
      </w:pPr>
      <w:r>
        <w:rPr>
          <w:b/>
          <w:bCs/>
        </w:rPr>
        <w:t xml:space="preserve">Title.</w:t>
      </w:r>
      <w:r>
        <w:t xml:space="preserve"> </w:t>
      </w:r>
      <w:r>
        <w:t xml:space="preserve">A reusable cell-composition-adjusted re-analysis pipeline for interpreting bulk-tissue null results in low-abundance lncRNA studies:</w:t>
      </w:r>
      <w:r>
        <w:t xml:space="preserve"> </w:t>
      </w:r>
      <w:r>
        <w:rPr>
          <w:i/>
          <w:iCs/>
        </w:rPr>
        <w:t xml:space="preserve">IDI2-AS1</w:t>
      </w:r>
      <w:r>
        <w:t xml:space="preserve"> </w:t>
      </w:r>
      <w:r>
        <w:t xml:space="preserve">/</w:t>
      </w:r>
      <w:r>
        <w:t xml:space="preserve"> </w:t>
      </w:r>
      <w:r>
        <w:rPr>
          <w:i/>
          <w:iCs/>
        </w:rPr>
        <w:t xml:space="preserve">IL5</w:t>
      </w:r>
      <w:r>
        <w:t xml:space="preserve"> </w:t>
      </w:r>
      <w:r>
        <w:t xml:space="preserve">as a worked example across type-2 allergic diseases.</w:t>
      </w:r>
    </w:p>
    <w:p>
      <w:pPr>
        <w:pStyle w:val="BodyText"/>
      </w:pPr>
      <w:r>
        <w:rPr>
          <w:b/>
          <w:bCs/>
        </w:rPr>
        <w:t xml:space="preserve">Short title.</w:t>
      </w:r>
      <w:r>
        <w:t xml:space="preserve"> </w:t>
      </w:r>
      <w:r>
        <w:t xml:space="preserve">Cell-composition-adjusted bulk re-analysis of low-abundance lncRNAs.</w:t>
      </w:r>
    </w:p>
    <w:p>
      <w:pPr>
        <w:pStyle w:val="BodyText"/>
      </w:pPr>
      <w:r>
        <w:rPr>
          <w:b/>
          <w:bCs/>
        </w:rPr>
        <w:t xml:space="preserve">Author.</w:t>
      </w:r>
      <w:r>
        <w:t xml:space="preserve"> </w:t>
      </w:r>
      <w:r>
        <w:t xml:space="preserve">Hidenori Tani, Ph.D.</w:t>
      </w:r>
    </w:p>
    <w:p>
      <w:pPr>
        <w:pStyle w:val="BodyText"/>
      </w:pPr>
      <w:r>
        <w:rPr>
          <w:b/>
          <w:bCs/>
        </w:rPr>
        <w:t xml:space="preserve">Affiliation.</w:t>
      </w:r>
      <w:r>
        <w:t xml:space="preserve"> </w:t>
      </w:r>
      <w:r>
        <w:t xml:space="preserve">Yokohama University of Pharmacy, 601 Matano-cho, Totsuka-ku, Yokohama 245-0066, Japan.</w:t>
      </w:r>
    </w:p>
    <w:p>
      <w:pPr>
        <w:pStyle w:val="BodyText"/>
      </w:pPr>
      <w:r>
        <w:rPr>
          <w:b/>
          <w:bCs/>
        </w:rPr>
        <w:t xml:space="preserve">ORCID.</w:t>
      </w:r>
      <w:r>
        <w:t xml:space="preserve"> </w:t>
      </w:r>
      <w:r>
        <w:t xml:space="preserve">0000-0001-6390-4136</w:t>
      </w:r>
    </w:p>
    <w:p>
      <w:pPr>
        <w:pStyle w:val="BodyText"/>
      </w:pPr>
      <w:r>
        <w:rPr>
          <w:b/>
          <w:bCs/>
        </w:rPr>
        <w:t xml:space="preserve">Corresponding author.</w:t>
      </w:r>
      <w:r>
        <w:t xml:space="preserve"> </w:t>
      </w:r>
      <w:r>
        <w:t xml:space="preserve">Hidenori Tani, Ph.D.</w:t>
      </w:r>
      <w:r>
        <w:t xml:space="preserve"> </w:t>
      </w:r>
      <w:r>
        <w:t xml:space="preserve">Yokohama University of Pharmacy</w:t>
      </w:r>
      <w:r>
        <w:t xml:space="preserve"> </w:t>
      </w:r>
      <w:r>
        <w:t xml:space="preserve">601 Matano-cho, Totsuka-ku, Yokohama 245-0066, Japan</w:t>
      </w:r>
      <w:r>
        <w:t xml:space="preserve"> </w:t>
      </w:r>
      <w:r>
        <w:t xml:space="preserve">E-mail: hidenori.tani@yok.hamayaku.ac.jp</w:t>
      </w:r>
      <w:r>
        <w:t xml:space="preserve"> </w:t>
      </w:r>
      <w:r>
        <w:t xml:space="preserve">Tel: +81-45-859-1300</w:t>
      </w:r>
    </w:p>
    <w:p>
      <w:pPr>
        <w:pStyle w:val="BodyText"/>
      </w:pPr>
      <w:r>
        <w:rPr>
          <w:b/>
          <w:bCs/>
        </w:rPr>
        <w:t xml:space="preserve">Article type.</w:t>
      </w:r>
      <w:r>
        <w:t xml:space="preserve"> </w:t>
      </w:r>
      <w:r>
        <w:t xml:space="preserve">Problem solving protocol</w:t>
      </w:r>
    </w:p>
    <w:p>
      <w:pPr>
        <w:pStyle w:val="BodyText"/>
      </w:pPr>
      <w:r>
        <w:rPr>
          <w:b/>
          <w:bCs/>
        </w:rPr>
        <w:t xml:space="preserve">Word count (main text — Introduction + Methods + Results + Discussion — excluding abstract, key points, figure legends, declarations, and references).</w:t>
      </w:r>
      <w:r>
        <w:t xml:space="preserve"> </w:t>
      </w:r>
      <w:r>
        <w:t xml:space="preserve">~ 4,100 words</w:t>
      </w:r>
    </w:p>
    <w:p>
      <w:pPr>
        <w:pStyle w:val="BodyText"/>
      </w:pPr>
      <w:r>
        <w:rPr>
          <w:b/>
          <w:bCs/>
        </w:rPr>
        <w:t xml:space="preserve">Number of figures.</w:t>
      </w:r>
      <w:r>
        <w:t xml:space="preserve"> </w:t>
      </w:r>
      <w:r>
        <w:t xml:space="preserve">5 main + 1 supplementary</w:t>
      </w:r>
    </w:p>
    <w:p>
      <w:pPr>
        <w:pStyle w:val="BodyText"/>
      </w:pPr>
      <w:r>
        <w:rPr>
          <w:b/>
          <w:bCs/>
        </w:rPr>
        <w:t xml:space="preserve">Number of tables.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Keywords.</w:t>
      </w:r>
      <w:r>
        <w:t xml:space="preserve"> </w:t>
      </w:r>
      <w:r>
        <w:t xml:space="preserve">long noncoding RNA; bulk RNA-seq; cell-composition deconvolution; random-effects meta-analysis; partial correlation; mediation analysis;</w:t>
      </w:r>
      <w:r>
        <w:t xml:space="preserve"> </w:t>
      </w:r>
      <w:r>
        <w:rPr>
          <w:i/>
          <w:iCs/>
        </w:rPr>
        <w:t xml:space="preserve">IL5</w:t>
      </w:r>
      <w:r>
        <w:t xml:space="preserve">; type-2 inflammation.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2026-05-15T19:41:55Z</dcterms:created>
  <dcterms:modified xsi:type="dcterms:W3CDTF">2026-05-15T19:41:55Z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