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tatement-of-significance"/>
    <w:p>
      <w:pPr>
        <w:pStyle w:val="Heading1"/>
      </w:pPr>
      <w:r>
        <w:t xml:space="preserve">Statement of Significance</w:t>
      </w:r>
    </w:p>
    <w:p>
      <w:pPr>
        <w:pStyle w:val="FirstParagraph"/>
      </w:pPr>
      <w:r>
        <w:rPr>
          <w:b/>
          <w:bCs/>
        </w:rPr>
        <w:t xml:space="preserve">Manuscript:</w:t>
      </w:r>
      <w:r>
        <w:t xml:space="preserve"> </w:t>
      </w:r>
      <w:r>
        <w:t xml:space="preserve">A reusable cell-composition-adjusted re-analysis pipeline for interpreting bulk-tissue null results in low-abundance lncRNA studies: IDI2-AS1 / IL5 as a worked example across type-2 allergic diseases</w:t>
      </w:r>
    </w:p>
    <w:p>
      <w:pPr>
        <w:pStyle w:val="BodyText"/>
      </w:pPr>
      <w:r>
        <w:rPr>
          <w:i/>
          <w:iCs/>
        </w:rPr>
        <w:t xml:space="preserve">(This Statement of Significance is also embedded at the end of the Introduction in the main manuscript, per the Guide for Authors. Statement content: 123 words.)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 or Issue</w:t>
            </w:r>
          </w:p>
        </w:tc>
        <w:tc>
          <w:tcPr/>
          <w:p>
            <w:pPr>
              <w:pStyle w:val="Compact"/>
            </w:pPr>
            <w:r>
              <w:t xml:space="preserve">Re-using public bulk RNA-seq to evaluate low-abundance, cell-type-restricted long noncoding RNAs is error-prone: bulk readouts conflate per-cell regulation with cell-composition shifts, so a null or sign-inverted result can be mis-read as evidence against in vivo function.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is Already Known</w:t>
            </w:r>
          </w:p>
        </w:tc>
        <w:tc>
          <w:tcPr/>
          <w:p>
            <w:pPr>
              <w:pStyle w:val="Compact"/>
            </w:pPr>
            <w:r>
              <w:t xml:space="preserve">The component methods—differential expression, meta-analysis, deconvolution, partial correlation, effect decomposition—are established but applied ad hoc; no standardized, reusable workflow distinguishes compositional masking from a genuine absence of 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This Paper Adds</w:t>
            </w:r>
          </w:p>
        </w:tc>
        <w:tc>
          <w:tcPr/>
          <w:p>
            <w:pPr>
              <w:pStyle w:val="Compact"/>
            </w:pPr>
            <w:r>
              <w:t xml:space="preserve">An openly released pipeline that statistically partitions a bulk feature–target association into composition-attributable and residual components, with a cross-method robustness check and a confounding-sensitivity analysis; demonstrated on IDI2-AS1/IL5 (asthma,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 695: ~70–90% eosinophil-attributable).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Would Benefit</w:t>
            </w:r>
          </w:p>
        </w:tc>
        <w:tc>
          <w:tcPr/>
          <w:p>
            <w:pPr>
              <w:pStyle w:val="Compact"/>
            </w:pPr>
            <w:r>
              <w:t xml:space="preserve">Biomedical-informatics researchers and computational biologists re-analyzing public bulk transcriptomes for cell-type-restricted regulators, who must avoid mis-reading bulk nulls as biological absence.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2026-06-17T06:28:03Z</dcterms:created>
  <dcterms:modified xsi:type="dcterms:W3CDTF">2026-06-17T06:28:03Z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