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A reusable cell-composition-adjusted re-analysis pipeline for interpreting bulk-tissue null results in low-abundance lncRNA studies: IDI2-AS1 / IL5 as a worked example across type-2 allergic diseases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Journal of Biomedical Informatics</w:t>
      </w:r>
    </w:p>
    <w:p>
      <w:pPr>
        <w:pStyle w:val="BodyText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Hidenori Tani, Ph.D.</w:t>
      </w:r>
      <w:r>
        <w:t xml:space="preserve"> </w:t>
      </w:r>
      <w:r>
        <w:t xml:space="preserve">Department of Health Pharmacy, Yokohama University of Pharmacy</w:t>
      </w:r>
      <w:r>
        <w:t xml:space="preserve"> </w:t>
      </w:r>
      <w:r>
        <w:t xml:space="preserve">601 Matano-cho, Totsuka-ku, Yokohama 245-0066, Japan</w:t>
      </w:r>
      <w:r>
        <w:t xml:space="preserve"> </w:t>
      </w:r>
      <w:r>
        <w:t xml:space="preserve">E-mail: hidenori.tani@yok.hamayaku.ac.jp</w:t>
      </w:r>
      <w:r>
        <w:t xml:space="preserve"> </w:t>
      </w:r>
      <w:r>
        <w:t xml:space="preserve">ORCID: 0000-0001-6390-4136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17 June 2026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2026-06-17T06:19:00Z</dcterms:created>
  <dcterms:modified xsi:type="dcterms:W3CDTF">2026-06-17T06:19:00Z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