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page"/>
    <w:p>
      <w:pPr>
        <w:pStyle w:val="Heading1"/>
      </w:pPr>
      <w:r>
        <w:t xml:space="preserve">Title page</w:t>
      </w:r>
    </w:p>
    <w:p>
      <w:pPr>
        <w:pStyle w:val="FirstParagraph"/>
      </w:pPr>
      <w:r>
        <w:rPr>
          <w:b/>
          <w:bCs/>
        </w:rPr>
        <w:t xml:space="preserve">Title.</w:t>
      </w:r>
      <w:r>
        <w:t xml:space="preserve"> </w:t>
      </w:r>
      <w:r>
        <w:t xml:space="preserve">A reusable cell-composition-adjusted re-analysis pipeline for interpreting bulk-tissue null results in low-abundance lncRNA studies:</w:t>
      </w:r>
      <w:r>
        <w:t xml:space="preserve"> </w:t>
      </w:r>
      <w:r>
        <w:rPr>
          <w:i/>
          <w:iCs/>
        </w:rPr>
        <w:t xml:space="preserve">IDI2-AS1</w:t>
      </w:r>
      <w:r>
        <w:t xml:space="preserve"> </w:t>
      </w:r>
      <w:r>
        <w:t xml:space="preserve">/</w:t>
      </w:r>
      <w:r>
        <w:t xml:space="preserve"> </w:t>
      </w:r>
      <w:r>
        <w:rPr>
          <w:i/>
          <w:iCs/>
        </w:rPr>
        <w:t xml:space="preserve">IL5</w:t>
      </w:r>
      <w:r>
        <w:t xml:space="preserve"> </w:t>
      </w:r>
      <w:r>
        <w:t xml:space="preserve">as a worked example across type-2 allergic diseases.</w:t>
      </w:r>
    </w:p>
    <w:p>
      <w:pPr>
        <w:pStyle w:val="BodyText"/>
      </w:pPr>
      <w:r>
        <w:rPr>
          <w:b/>
          <w:bCs/>
        </w:rPr>
        <w:t xml:space="preserve">Short title.</w:t>
      </w:r>
      <w:r>
        <w:t xml:space="preserve"> </w:t>
      </w:r>
      <w:r>
        <w:t xml:space="preserve">Cell-composition-adjusted bulk re-analysis of low-abundance lncRNAs.</w:t>
      </w:r>
    </w:p>
    <w:p>
      <w:pPr>
        <w:pStyle w:val="BodyText"/>
      </w:pPr>
      <w:r>
        <w:rPr>
          <w:b/>
          <w:bCs/>
        </w:rPr>
        <w:t xml:space="preserve">Author.</w:t>
      </w:r>
      <w:r>
        <w:t xml:space="preserve"> </w:t>
      </w:r>
      <w:r>
        <w:t xml:space="preserve">Hidenori Tani, Ph.D.</w:t>
      </w:r>
    </w:p>
    <w:p>
      <w:pPr>
        <w:pStyle w:val="BodyText"/>
      </w:pPr>
      <w:r>
        <w:rPr>
          <w:b/>
          <w:bCs/>
        </w:rPr>
        <w:t xml:space="preserve">Affiliation.</w:t>
      </w:r>
      <w:r>
        <w:t xml:space="preserve"> </w:t>
      </w:r>
      <w:r>
        <w:t xml:space="preserve">Department of Health Pharmacy, Yokohama University of Pharmacy, 601 Matano-cho, Totsuka-ku, Yokohama 245-0066, Japan.</w:t>
      </w:r>
    </w:p>
    <w:p>
      <w:pPr>
        <w:pStyle w:val="BodyText"/>
      </w:pPr>
      <w:r>
        <w:rPr>
          <w:b/>
          <w:bCs/>
        </w:rPr>
        <w:t xml:space="preserve">ORCID.</w:t>
      </w:r>
      <w:r>
        <w:t xml:space="preserve"> </w:t>
      </w:r>
      <w:r>
        <w:t xml:space="preserve">0000-0001-6390-4136</w:t>
      </w:r>
    </w:p>
    <w:p>
      <w:pPr>
        <w:pStyle w:val="BodyText"/>
      </w:pPr>
      <w:r>
        <w:rPr>
          <w:b/>
          <w:bCs/>
        </w:rPr>
        <w:t xml:space="preserve">Corresponding author.</w:t>
      </w:r>
      <w:r>
        <w:t xml:space="preserve"> </w:t>
      </w:r>
      <w:r>
        <w:t xml:space="preserve">Hidenori Tani, Ph.D.</w:t>
      </w:r>
      <w:r>
        <w:t xml:space="preserve"> </w:t>
      </w:r>
      <w:r>
        <w:t xml:space="preserve">Department of Health Pharmacy</w:t>
      </w:r>
      <w:r>
        <w:t xml:space="preserve"> </w:t>
      </w:r>
      <w:r>
        <w:t xml:space="preserve">Yokohama University of Pharmacy</w:t>
      </w:r>
      <w:r>
        <w:t xml:space="preserve"> </w:t>
      </w:r>
      <w:r>
        <w:t xml:space="preserve">601 Matano-cho, Totsuka-ku, Yokohama 245-0066, Japan</w:t>
      </w:r>
      <w:r>
        <w:t xml:space="preserve"> </w:t>
      </w:r>
      <w:r>
        <w:t xml:space="preserve">E-mail: hidenori.tani@yok.hamayaku.ac.jp</w:t>
      </w:r>
      <w:r>
        <w:t xml:space="preserve"> </w:t>
      </w:r>
      <w:r>
        <w:t xml:space="preserve">Tel: +81-45-859-1300</w:t>
      </w:r>
    </w:p>
    <w:p>
      <w:pPr>
        <w:pStyle w:val="BodyText"/>
      </w:pPr>
      <w:r>
        <w:rPr>
          <w:b/>
          <w:bCs/>
        </w:rPr>
        <w:t xml:space="preserve">Article type.</w:t>
      </w:r>
      <w:r>
        <w:t xml:space="preserve"> </w:t>
      </w:r>
      <w:r>
        <w:t xml:space="preserve">Methods / Original research (methodology).</w:t>
      </w:r>
    </w:p>
    <w:p>
      <w:pPr>
        <w:pStyle w:val="BodyText"/>
      </w:pPr>
      <w:r>
        <w:rPr>
          <w:b/>
          <w:bCs/>
        </w:rPr>
        <w:t xml:space="preserve">Word count (main text — Introduction + Methods + Results + Discussion — excluding abstract, key points, figure legends, declarations, and references).</w:t>
      </w:r>
      <w:r>
        <w:t xml:space="preserve"> </w:t>
      </w:r>
      <w:r>
        <w:t xml:space="preserve">~ 5,900 words</w:t>
      </w:r>
    </w:p>
    <w:p>
      <w:pPr>
        <w:pStyle w:val="BodyText"/>
      </w:pPr>
      <w:r>
        <w:rPr>
          <w:b/>
          <w:bCs/>
        </w:rPr>
        <w:t xml:space="preserve">Number of figures.</w:t>
      </w:r>
      <w:r>
        <w:t xml:space="preserve"> </w:t>
      </w:r>
      <w:r>
        <w:t xml:space="preserve">6 main + 1 supplementary</w:t>
      </w:r>
    </w:p>
    <w:p>
      <w:pPr>
        <w:pStyle w:val="BodyText"/>
      </w:pPr>
      <w:r>
        <w:rPr>
          <w:b/>
          <w:bCs/>
        </w:rPr>
        <w:t xml:space="preserve">Number of tables.</w:t>
      </w:r>
      <w:r>
        <w:t xml:space="preserve"> </w:t>
      </w:r>
      <w:r>
        <w:t xml:space="preserve">2 main + 1 supplementary</w:t>
      </w:r>
    </w:p>
    <w:p>
      <w:pPr>
        <w:pStyle w:val="BodyText"/>
      </w:pPr>
      <w:r>
        <w:rPr>
          <w:b/>
          <w:bCs/>
        </w:rPr>
        <w:t xml:space="preserve">Display items (main figures + main tables).</w:t>
      </w:r>
      <w:r>
        <w:t xml:space="preserve"> </w:t>
      </w:r>
      <w:r>
        <w:t xml:space="preserve">8 (6 figures + 2 tables)</w:t>
      </w:r>
    </w:p>
    <w:p>
      <w:pPr>
        <w:pStyle w:val="BodyText"/>
      </w:pPr>
      <w:r>
        <w:rPr>
          <w:b/>
          <w:bCs/>
        </w:rPr>
        <w:t xml:space="preserve">Keywords.</w:t>
      </w:r>
      <w:r>
        <w:t xml:space="preserve"> </w:t>
      </w:r>
      <w:r>
        <w:t xml:space="preserve">long noncoding RNA; bulk RNA-seq; cell-composition deconvolution; random-effects meta-analysis; partial correlation; effect decomposition.</w:t>
      </w:r>
    </w:p>
    <w:p>
      <w:pPr>
        <w:pStyle w:val="BodyText"/>
      </w:pPr>
      <w:r>
        <w:rPr>
          <w:b/>
          <w:bCs/>
        </w:rPr>
        <w:t xml:space="preserve">Publication route.</w:t>
      </w:r>
      <w:r>
        <w:t xml:space="preserve"> </w:t>
      </w:r>
      <w:r>
        <w:t xml:space="preserve">Subscription (no open access / article publishing charge requested).</w:t>
      </w:r>
    </w:p>
    <w:p>
      <w:pPr>
        <w:pStyle w:val="BodyText"/>
      </w:pPr>
      <w:r>
        <w:rPr>
          <w:b/>
          <w:bCs/>
        </w:rPr>
        <w:t xml:space="preserve">Acknowledgments.</w:t>
      </w:r>
      <w:r>
        <w:t xml:space="preserve"> </w:t>
      </w:r>
      <w:r>
        <w:t xml:space="preserve">The author thanks the contributors of the public RNA-seq cohorts re-analyzed in this study (GSE152004, GSE121212, GSE246323, GSE58640, GSE136825) for making their data openly available, and the developers of DESeq2, apeglm, limma, metafor, ppcor, mediation, xCell, ComplexHeatmap, and CIBERSORTx for the open-source tools that made this analysis possible.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2026-06-17T06:45:30Z</dcterms:created>
  <dcterms:modified xsi:type="dcterms:W3CDTF">2026-06-17T06:45:30Z</dcterms:modified>
</cp:coreProperties>
</file>

<file path=docProps/custom.xml><?xml version="1.0" encoding="utf-8"?>
<Properties xmlns="http://schemas.openxmlformats.org/officeDocument/2006/custom-properties" xmlns:vt="http://schemas.openxmlformats.org/officeDocument/2006/docPropsVTypes"/>
</file>