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atement-of-significance"/>
    <w:p>
      <w:pPr>
        <w:pStyle w:val="Heading1"/>
      </w:pPr>
      <w:r>
        <w:t xml:space="preserve">Statement of Significance</w:t>
      </w:r>
    </w:p>
    <w:p>
      <w:pPr>
        <w:pStyle w:val="FirstParagraph"/>
      </w:pPr>
      <w:r>
        <w:rPr>
          <w:b/>
          <w:bCs/>
        </w:rPr>
        <w:t xml:space="preserve">Manuscript:</w:t>
      </w:r>
      <w:r>
        <w:t xml:space="preserve"> </w:t>
      </w:r>
      <w:r>
        <w:t xml:space="preserve">A reusable cell-composition-adjusted re-analysis pipeline for interpreting bulk-tissue null results in low-abundance lncRNA studies: IDI2-AS1 / IL5 as a worked example across type-2 allergic diseases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Problem</w:t>
            </w:r>
          </w:p>
        </w:tc>
        <w:tc>
          <w:tcPr/>
          <w:p>
            <w:pPr>
              <w:pStyle w:val="Compact"/>
            </w:pPr>
            <w:r>
              <w:t xml:space="preserve">A large fraction of biomedical-informatics work re-uses public bulk RNA-seq that was not designed for the question being asked. For low-abundance, cell-type-restricted features such as long noncoding RNAs (lncRNAs), the standard operations — a case-vs-control differential-expression catalog and a sample-level correlation with a putative target — conflate two biologically distinct quantities: the per-cell expression of the feature inside its effector subset, and the abundance of that subset within the sample. When these move in opposite directions in disease, the bulk readout is masked, inverted, or read as null, and a real per-cell effect can be wrongly dismissed. No standardized, reusable workflow isolates these contributions from bulk data alone.</w:t>
            </w:r>
          </w:p>
        </w:tc>
      </w:tr>
      <w:tr>
        <w:tc>
          <w:tcPr/>
          <w:p>
            <w:pPr>
              <w:pStyle w:val="Compact"/>
            </w:pPr>
            <w:r>
              <w:rPr>
                <w:b/>
                <w:bCs/>
              </w:rPr>
              <w:t xml:space="preserve">What is Already Known</w:t>
            </w:r>
          </w:p>
        </w:tc>
        <w:tc>
          <w:tcPr/>
          <w:p>
            <w:pPr>
              <w:pStyle w:val="Compact"/>
            </w:pPr>
            <w:r>
              <w:t xml:space="preserve">The individual statistical components are established — differential expression (DESeq2/limma), random-effects meta-analysis, marker- and ssGSEA-based deconvolution, partial correlation, and effect decomposition. However, they are applied ad hoc, with no defined, reproducible discipline for distinguishing compositional masking from a genuine absence of regulation in cell-type-restricted lncRNA candidates. The practical failure modes of applying off-the-shelf deconvolution to rare, spillover-prone cell types in bulk re-analysis are also under-appreciated.</w:t>
            </w:r>
          </w:p>
        </w:tc>
      </w:tr>
      <w:tr>
        <w:tc>
          <w:tcPr/>
          <w:p>
            <w:pPr>
              <w:pStyle w:val="Compact"/>
            </w:pPr>
            <w:r>
              <w:rPr>
                <w:b/>
                <w:bCs/>
              </w:rPr>
              <w:t xml:space="preserve">What This Paper Adds</w:t>
            </w:r>
          </w:p>
        </w:tc>
        <w:tc>
          <w:tcPr/>
          <w:p>
            <w:pPr>
              <w:pStyle w:val="Compact"/>
            </w:pPr>
            <w:r>
              <w:t xml:space="preserve">A reusable, openly released re-analysis pipeline that statistically partitions a bulk feature–target association into composition-attributable and residual components, with a built-in cross-method robustness check (a transparent marker signature versus independent xCell deconvolution) and an unmeasured-confounding sensitivity analysis. As a worked example on IDI2-AS1 / IL5 across five public cohorts (n = 856), it attributes the majority of the bulk IDI2-AS1–IL5 covariation in the only adequately powered cohort (asthma, n = 695) to shared eosinophil abundance — ≈ 90 % under the marker signature and ≈ 70 % under independent deconvolution — reframing a bulk null as a compositional-masking hypothesis to be tested at single-cell resolution rather than as evidence against in vivo relevance. It additionally documents a concrete, generalizable pitfall: default spillover compensation floors rare cell-type estimates in epithelial samples and would otherwise produce a spuriously null adjustment. The framework is portable to any low-abundance, cell-type-restricted candidate re-evaluated against public bulk transcriptomes.</w:t>
            </w:r>
          </w:p>
        </w:tc>
      </w:tr>
    </w:tbl>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2026-06-17T06:16:15Z</dcterms:created>
  <dcterms:modified xsi:type="dcterms:W3CDTF">2026-06-17T06:16:15Z</dcterms:modified>
</cp:coreProperties>
</file>

<file path=docProps/custom.xml><?xml version="1.0" encoding="utf-8"?>
<Properties xmlns="http://schemas.openxmlformats.org/officeDocument/2006/custom-properties" xmlns:vt="http://schemas.openxmlformats.org/officeDocument/2006/docPropsVTypes"/>
</file>