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reusable cell-composition-adjusted re-analysis pipeline for interpreting bulk-tissue null results in low-abundance lncRNA studies: IDI2-AS1 / IL5 as a worked example across type-2 allergic diseases</w:t>
      </w:r>
    </w:p>
    <w:p>
      <w:pPr>
        <w:pStyle w:val="Author"/>
      </w:pPr>
      <w:r>
        <w:t xml:space="preserve">Hidenori Tani</w:t>
      </w:r>
    </w:p>
    <w:bookmarkStart w:id="102" w:name="title-page"/>
    <w:p>
      <w:pPr>
        <w:pStyle w:val="Heading1"/>
      </w:pPr>
      <w:r>
        <w:t xml:space="preserve">Title page</w:t>
      </w:r>
    </w:p>
    <w:p>
      <w:pPr>
        <w:pStyle w:val="FirstParagraph"/>
      </w:pPr>
      <w:r>
        <w:rPr>
          <w:b/>
          <w:bCs/>
        </w:rPr>
        <w:t xml:space="preserve">Title.</w:t>
      </w:r>
      <w:r>
        <w:t xml:space="preserve"> </w:t>
      </w:r>
      <w:r>
        <w:t xml:space="preserve">A reusable cell-composition-adjusted re-analysis pipeline for interpreting bulk-tissue null results in low-abundance lncRNA studies:</w:t>
      </w:r>
      <w:r>
        <w:t xml:space="preserve"> </w:t>
      </w:r>
      <w:r>
        <w:rPr>
          <w:i/>
          <w:iCs/>
        </w:rPr>
        <w:t xml:space="preserve">IDI2-AS1</w:t>
      </w:r>
      <w:r>
        <w:t xml:space="preserve"> </w:t>
      </w:r>
      <w:r>
        <w:t xml:space="preserve">/</w:t>
      </w:r>
      <w:r>
        <w:t xml:space="preserve"> </w:t>
      </w:r>
      <w:r>
        <w:rPr>
          <w:i/>
          <w:iCs/>
        </w:rPr>
        <w:t xml:space="preserve">IL5</w:t>
      </w:r>
      <w:r>
        <w:t xml:space="preserve"> </w:t>
      </w:r>
      <w:r>
        <w:t xml:space="preserve">as a worked example across type-2 allergic diseases.</w:t>
      </w:r>
    </w:p>
    <w:p>
      <w:pPr>
        <w:pStyle w:val="BodyText"/>
      </w:pPr>
      <w:r>
        <w:rPr>
          <w:b/>
          <w:bCs/>
        </w:rPr>
        <w:t xml:space="preserve">Short title.</w:t>
      </w:r>
      <w:r>
        <w:t xml:space="preserve"> </w:t>
      </w:r>
      <w:r>
        <w:t xml:space="preserve">Cell-composition-adjusted bulk re-analysis of low-abundance lncRNAs.</w:t>
      </w:r>
    </w:p>
    <w:p>
      <w:pPr>
        <w:pStyle w:val="BodyText"/>
      </w:pPr>
      <w:r>
        <w:rPr>
          <w:b/>
          <w:bCs/>
        </w:rPr>
        <w:t xml:space="preserve">Author.</w:t>
      </w:r>
      <w:r>
        <w:t xml:space="preserve"> </w:t>
      </w:r>
      <w:r>
        <w:t xml:space="preserve">Hidenori Tani, Ph.D.</w:t>
      </w:r>
    </w:p>
    <w:p>
      <w:pPr>
        <w:pStyle w:val="BodyText"/>
      </w:pPr>
      <w:r>
        <w:rPr>
          <w:b/>
          <w:bCs/>
        </w:rPr>
        <w:t xml:space="preserve">Affiliation.</w:t>
      </w:r>
      <w:r>
        <w:t xml:space="preserve"> </w:t>
      </w:r>
      <w:r>
        <w:t xml:space="preserve">Department of Health Pharmacy, Yokohama University of Pharmacy, 601 Matano-cho, Totsuka-ku, Yokohama 245-0066, Japan.</w:t>
      </w:r>
    </w:p>
    <w:p>
      <w:pPr>
        <w:pStyle w:val="BodyText"/>
      </w:pPr>
      <w:r>
        <w:rPr>
          <w:b/>
          <w:bCs/>
        </w:rPr>
        <w:t xml:space="preserve">ORCID.</w:t>
      </w:r>
      <w:r>
        <w:t xml:space="preserve"> </w:t>
      </w:r>
      <w:r>
        <w:t xml:space="preserve">0000-0001-6390-4136</w:t>
      </w:r>
    </w:p>
    <w:p>
      <w:pPr>
        <w:pStyle w:val="BodyText"/>
      </w:pPr>
      <w:r>
        <w:rPr>
          <w:b/>
          <w:bCs/>
        </w:rPr>
        <w:t xml:space="preserve">Corresponding author.</w:t>
      </w:r>
      <w:r>
        <w:t xml:space="preserve"> </w:t>
      </w:r>
      <w:r>
        <w:t xml:space="preserve">Hidenori Tani, Ph.D.</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E-mail: hidenori.tani@yok.hamayaku.ac.jp</w:t>
      </w:r>
      <w:r>
        <w:t xml:space="preserve"> </w:t>
      </w:r>
      <w:r>
        <w:t xml:space="preserve">Tel: +81-45-859-1300</w:t>
      </w:r>
    </w:p>
    <w:p>
      <w:pPr>
        <w:pStyle w:val="BodyText"/>
      </w:pPr>
      <w:r>
        <w:rPr>
          <w:b/>
          <w:bCs/>
        </w:rPr>
        <w:t xml:space="preserve">Article type.</w:t>
      </w:r>
      <w:r>
        <w:t xml:space="preserve"> </w:t>
      </w:r>
      <w:r>
        <w:t xml:space="preserve">Methods / Original research (methodology).</w:t>
      </w:r>
    </w:p>
    <w:p>
      <w:pPr>
        <w:pStyle w:val="BodyText"/>
      </w:pPr>
      <w:r>
        <w:rPr>
          <w:b/>
          <w:bCs/>
        </w:rPr>
        <w:t xml:space="preserve">Word count (main text — Introduction + Methods + Results + Discussion — excluding abstract, key points, figure legends, declarations, and references).</w:t>
      </w:r>
      <w:r>
        <w:t xml:space="preserve"> </w:t>
      </w:r>
      <w:r>
        <w:t xml:space="preserve">~ 5,900 words</w:t>
      </w:r>
    </w:p>
    <w:p>
      <w:pPr>
        <w:pStyle w:val="BodyText"/>
      </w:pPr>
      <w:r>
        <w:rPr>
          <w:b/>
          <w:bCs/>
        </w:rPr>
        <w:t xml:space="preserve">Number of figures.</w:t>
      </w:r>
      <w:r>
        <w:t xml:space="preserve"> </w:t>
      </w:r>
      <w:r>
        <w:t xml:space="preserve">6 main + 1 supplementary</w:t>
      </w:r>
    </w:p>
    <w:p>
      <w:pPr>
        <w:pStyle w:val="BodyText"/>
      </w:pPr>
      <w:r>
        <w:rPr>
          <w:b/>
          <w:bCs/>
        </w:rPr>
        <w:t xml:space="preserve">Number of tables.</w:t>
      </w:r>
      <w:r>
        <w:t xml:space="preserve"> </w:t>
      </w:r>
      <w:r>
        <w:t xml:space="preserve">3</w:t>
      </w:r>
    </w:p>
    <w:p>
      <w:pPr>
        <w:pStyle w:val="BodyText"/>
      </w:pPr>
      <w:r>
        <w:rPr>
          <w:b/>
          <w:bCs/>
        </w:rPr>
        <w:t xml:space="preserve">Keywords.</w:t>
      </w:r>
      <w:r>
        <w:t xml:space="preserve"> </w:t>
      </w:r>
      <w:r>
        <w:t xml:space="preserve">long noncoding RNA; bulk RNA-seq; cell-composition deconvolution; random-effects meta-analysis; partial correlation; effect decomposition.</w:t>
      </w:r>
    </w:p>
    <w:p>
      <w:pPr>
        <w:pStyle w:val="BodyText"/>
      </w:pPr>
      <w:r>
        <w:rPr>
          <w:b/>
          <w:bCs/>
        </w:rPr>
        <w:t xml:space="preserve">Publication route.</w:t>
      </w:r>
      <w:r>
        <w:t xml:space="preserve"> </w:t>
      </w:r>
      <w:r>
        <w:t xml:space="preserve">Subscription (no open access / article publishing charge requested).</w:t>
      </w:r>
    </w:p>
    <w:p>
      <w:pPr>
        <w:pStyle w:val="BodyText"/>
      </w:pPr>
      <w:r>
        <w:rPr>
          <w:b/>
          <w:bCs/>
        </w:rPr>
        <w:t xml:space="preserve">Acknowledgments.</w:t>
      </w:r>
      <w:r>
        <w:t xml:space="preserve"> </w:t>
      </w:r>
      <w:r>
        <w:t xml:space="preserve">The author thanks the contributors of the public RNA-seq cohorts re-analyzed in this study (GSE152004, GSE121212, GSE246323, GSE58640, GSE136825) for making their data openly available, and the developers of DESeq2, apeglm, limma, metafor, ppcor, mediation, xCell, ComplexHeatmap, and CIBERSORTx for the open-source tools that made this analysis possible.</w:t>
      </w:r>
    </w:p>
    <w:p>
      <w:r>
        <w:br w:type="page"/>
      </w:r>
    </w:p>
    <w:bookmarkStart w:id="9" w:name="abstract"/>
    <w:p>
      <w:pPr>
        <w:pStyle w:val="Heading2"/>
      </w:pPr>
      <w:r>
        <w:t xml:space="preserve">Abstract</w:t>
      </w:r>
    </w:p>
    <w:p>
      <w:pPr>
        <w:pStyle w:val="FirstParagraph"/>
      </w:pPr>
      <w:r>
        <w:rPr>
          <w:b/>
          <w:bCs/>
        </w:rPr>
        <w:t xml:space="preserve">Background.</w:t>
      </w:r>
      <w:r>
        <w:t xml:space="preserve"> </w:t>
      </w:r>
      <w:r>
        <w:t xml:space="preserve">Long noncoding RNAs (lncRNAs) are typically low-abundance and cell-type-restricted, so cell-specific regulators can be invisible in bulk RNA-seq catalogs. When per-cell regulation and cell-composition shift oppose each other in a diseased biopsy, the bulk readout conflates them and a real per-cell effect may be masked, inverted, or read as null. No standardised framework separates these contributions from bulk transcriptomes.</w:t>
      </w:r>
    </w:p>
    <w:p>
      <w:pPr>
        <w:pStyle w:val="BodyText"/>
      </w:pPr>
      <w:r>
        <w:rPr>
          <w:b/>
          <w:bCs/>
        </w:rPr>
        <w:t xml:space="preserve">Approach.</w:t>
      </w:r>
      <w:r>
        <w:t xml:space="preserve"> </w:t>
      </w:r>
      <w:r>
        <w:t xml:space="preserve">We present a reusable, cell-composition-adjusted re-analysis pipeline combining (i) DESeq2/limma differential expression with random-effects meta-analysis, (ii) deconvolution of effector-cell abundance, (iii) partial correlation conditioned on the cell-composition estimate, and (iv) a bootstrap decomposition of the observed cross-sectional association into composition-attributable and residual components. We report this decomposition as a statistical partition under a linear model, not a causal effect. Effector-cell abundance is estimated both with a marker-signature score and, independently, with transcriptome-wide deconvolution (xCell); all code and intermediate inputs are released openly.</w:t>
      </w:r>
    </w:p>
    <w:p>
      <w:pPr>
        <w:pStyle w:val="BodyText"/>
      </w:pPr>
      <w:r>
        <w:rPr>
          <w:b/>
          <w:bCs/>
        </w:rPr>
        <w:t xml:space="preserve">Worked example.</w:t>
      </w:r>
      <w:r>
        <w:t xml:space="preserve"> </w:t>
      </w:r>
      <w:r>
        <w:t xml:space="preserve">Applied to</w:t>
      </w:r>
      <w:r>
        <w:t xml:space="preserve"> </w:t>
      </w:r>
      <w:r>
        <w:rPr>
          <w:i/>
          <w:iCs/>
        </w:rPr>
        <w:t xml:space="preserve">IDI2-AS1</w:t>
      </w:r>
      <w:r>
        <w:t xml:space="preserve">, a recently identified in vitro repressor of</w:t>
      </w:r>
      <w:r>
        <w:t xml:space="preserve"> </w:t>
      </w:r>
      <w:r>
        <w:rPr>
          <w:i/>
          <w:iCs/>
        </w:rPr>
        <w:t xml:space="preserve">IL5</w:t>
      </w:r>
      <w:r>
        <w:t xml:space="preserve">, in five public bulk RNA-seq cohorts (</w:t>
      </w:r>
      <w:r>
        <w:rPr>
          <w:i/>
          <w:iCs/>
        </w:rPr>
        <w:t xml:space="preserve">n</w:t>
      </w:r>
      <w:r>
        <w:t xml:space="preserve"> </w:t>
      </w:r>
      <w:r>
        <w:t xml:space="preserve">= 856; four type-2 allergic diseases), the pipeline returned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and a positively signed</w:t>
      </w:r>
      <w:r>
        <w:t xml:space="preserve"> </w:t>
      </w:r>
      <w:r>
        <w:rPr>
          <w:i/>
          <w:iCs/>
        </w:rPr>
        <w:t xml:space="preserve">IDI2-AS1</w:t>
      </w:r>
      <w:r>
        <w:t xml:space="preserve">–</w:t>
      </w:r>
      <w:r>
        <w:rPr>
          <w:i/>
          <w:iCs/>
        </w:rPr>
        <w:t xml:space="preserve">IL5</w:t>
      </w:r>
      <w:r>
        <w:t xml:space="preserve"> </w:t>
      </w:r>
      <w:r>
        <w:t xml:space="preserve">sample-level correlation inverting the in vitro direction. In the only adequately powered cohort (asthma,</w:t>
      </w:r>
      <w:r>
        <w:t xml:space="preserve"> </w:t>
      </w:r>
      <w:r>
        <w:rPr>
          <w:i/>
          <w:iCs/>
        </w:rPr>
        <w:t xml:space="preserve">n</w:t>
      </w:r>
      <w:r>
        <w:t xml:space="preserve"> </w:t>
      </w:r>
      <w:r>
        <w:t xml:space="preserve">= 695), cell-composition adjustment attributed the majority of the covariation to shared eosinophil abundance — ≈ 90 % under the marker signature and ≈ 70 % under independent xCell deconvolution (both</w:t>
      </w:r>
      <w:r>
        <w:t xml:space="preserve"> </w:t>
      </w:r>
      <w:r>
        <w:rPr>
          <w:i/>
          <w:iCs/>
        </w:rPr>
        <w:t xml:space="preserve">p</w:t>
      </w:r>
      <w:r>
        <w:t xml:space="preserve"> </w:t>
      </w:r>
      <w:r>
        <w:t xml:space="preserve">≤ 0.006) — with no detectable residual component (ADE</w:t>
      </w:r>
      <w:r>
        <w:t xml:space="preserve"> </w:t>
      </w:r>
      <w:r>
        <w:rPr>
          <w:i/>
          <w:iCs/>
        </w:rPr>
        <w:t xml:space="preserve">p</w:t>
      </w:r>
      <w:r>
        <w:t xml:space="preserve"> </w:t>
      </w:r>
      <w:r>
        <w:t xml:space="preserve">= 0.76 and 0.57 for the marker and xCell estimators). The two abundance estimators were concordant (ρ = 0.62), supporting that the result is not solely an artifact of the marker proxy. The quantitative claim is restricted to asthma; the smaller cohorts are underpowered and mixed (positive raw correlations, but non-uniform adjusted/decomposition estimates) and provide qualitative context only.</w:t>
      </w:r>
    </w:p>
    <w:p>
      <w:pPr>
        <w:pStyle w:val="BodyText"/>
      </w:pPr>
      <w:r>
        <w:rPr>
          <w:b/>
          <w:bCs/>
        </w:rPr>
        <w:t xml:space="preserve">Implications.</w:t>
      </w:r>
      <w:r>
        <w:t xml:space="preserve"> </w:t>
      </w:r>
      <w:r>
        <w:t xml:space="preserve">The pipeline prevents bulk-tissue nulls being mis-read as evidence against cell-type-restricted lncRNA function. For</w:t>
      </w:r>
      <w:r>
        <w:t xml:space="preserve"> </w:t>
      </w:r>
      <w:r>
        <w:rPr>
          <w:i/>
          <w:iCs/>
        </w:rPr>
        <w:t xml:space="preserve">IDI2-AS1</w:t>
      </w:r>
      <w:r>
        <w:t xml:space="preserve">, the bulk readout is most parsimoniously explained as compositional masking — a hypothesis for single-cell adjudication, not a validated mechanism. The framework applies to other low-abundance lncRNA candidates against public bulk cohorts.</w:t>
      </w:r>
    </w:p>
    <w:p>
      <w:pPr>
        <w:pStyle w:val="BodyText"/>
      </w:pPr>
      <w:r>
        <w:rPr>
          <w:b/>
          <w:bCs/>
        </w:rPr>
        <w:t xml:space="preserve">Keywords:</w:t>
      </w:r>
      <w:r>
        <w:t xml:space="preserve"> </w:t>
      </w:r>
      <w:r>
        <w:t xml:space="preserve">long noncoding RNA; bulk RNA-seq; cell-composition deconvolution; random-effects meta-analysis; partial correlation; effect decomposition; IL5; type-2 inflammation.</w:t>
      </w:r>
    </w:p>
    <w:bookmarkEnd w:id="9"/>
    <w:bookmarkStart w:id="10" w:name="introduction"/>
    <w:p>
      <w:pPr>
        <w:pStyle w:val="Heading2"/>
      </w:pPr>
      <w:r>
        <w:t xml:space="preserve">Introduction</w:t>
      </w:r>
    </w:p>
    <w:p>
      <w:pPr>
        <w:pStyle w:val="FirstParagraph"/>
      </w:pPr>
      <w:r>
        <w:t xml:space="preserve">Long noncoding RNAs (lncRNAs) constitute the largest class of transcribed elements in the human genome and have emerged as a distinct regulatory layer in development, immune differentiation, and disease</w:t>
      </w:r>
      <w:r>
        <w:t xml:space="preserve"> </w:t>
      </w:r>
      <w:r>
        <w:t xml:space="preserve">[</w:t>
      </w:r>
      <w:hyperlink w:anchor="ref-Mattick2023_lncRNAreview">
        <w:r>
          <w:rPr>
            <w:rStyle w:val="Hyperlink"/>
          </w:rPr>
          <w:t xml:space="preserve">1</w:t>
        </w:r>
      </w:hyperlink>
      <w:r>
        <w:t xml:space="preserve">,</w:t>
      </w:r>
      <w:hyperlink w:anchor="ref-Statello2021_lncRNAfunctions">
        <w:r>
          <w:rPr>
            <w:rStyle w:val="Hyperlink"/>
          </w:rPr>
          <w:t xml:space="preserve">2</w:t>
        </w:r>
      </w:hyperlink>
      <w:r>
        <w:t xml:space="preserve">]</w:t>
      </w:r>
      <w:r>
        <w:t xml:space="preserve">. Compared with protein-coding mRNAs, they are characteristically lower in steady-state abundance, often short-lived</w:t>
      </w:r>
      <w:r>
        <w:t xml:space="preserve"> </w:t>
      </w:r>
      <w:r>
        <w:t xml:space="preserve">[</w:t>
      </w:r>
      <w:hyperlink w:anchor="ref-Tani2012_GenomeRes">
        <w:r>
          <w:rPr>
            <w:rStyle w:val="Hyperlink"/>
          </w:rPr>
          <w:t xml:space="preserve">3</w:t>
        </w:r>
      </w:hyperlink>
      <w:r>
        <w:t xml:space="preserve">]</w:t>
      </w:r>
      <w:r>
        <w:t xml:space="preserve">, and more cell-type-restricted in expression</w:t>
      </w:r>
      <w:r>
        <w:t xml:space="preserve"> </w:t>
      </w:r>
      <w:r>
        <w:t xml:space="preserve">[</w:t>
      </w:r>
      <w:hyperlink w:anchor="ref-Cabili2011_lincRNAs">
        <w:r>
          <w:rPr>
            <w:rStyle w:val="Hyperlink"/>
          </w:rPr>
          <w:t xml:space="preserve">4</w:t>
        </w:r>
      </w:hyperlink>
      <w:r>
        <w:t xml:space="preserve">]</w:t>
      </w:r>
      <w:r>
        <w:t xml:space="preserve">. These three properties have a direct consequence for translational lncRNA research using bulk transcriptomes: a regulator whose function is concentrated in a small effector subset may be biologically important in vivo while remaining effectively undetectable in standard bulk-tissue RNA-seq, because its per-cell contribution is averaged across thousands of bystander cells. Standard bulk catalogs therefore systematically under-report cell-type-restricted lncRNAs, and a null result in such a catalog cannot be interpreted as evidence against in vivo function.</w:t>
      </w:r>
    </w:p>
    <w:p>
      <w:pPr>
        <w:pStyle w:val="BodyText"/>
      </w:pPr>
      <w:r>
        <w:t xml:space="preserve">The interpretive problem is sharper than simple under-detection. For any cell-type-restricted regulator, bulk RNA-seq collapses two distinct quantities onto a single readout: (i) the</w:t>
      </w:r>
      <w:r>
        <w:t xml:space="preserve"> </w:t>
      </w:r>
      <w:r>
        <w:rPr>
          <w:i/>
          <w:iCs/>
        </w:rPr>
        <w:t xml:space="preserve">per-cell</w:t>
      </w:r>
      <w:r>
        <w:t xml:space="preserve"> </w:t>
      </w:r>
      <w:r>
        <w:t xml:space="preserve">expression of the regulator inside its effector subset, and (ii) the</w:t>
      </w:r>
      <w:r>
        <w:t xml:space="preserve"> </w:t>
      </w:r>
      <w:r>
        <w:rPr>
          <w:i/>
          <w:iCs/>
        </w:rPr>
        <w:t xml:space="preserve">abundance</w:t>
      </w:r>
      <w:r>
        <w:t xml:space="preserve"> </w:t>
      </w:r>
      <w:r>
        <w:t xml:space="preserve">of that subset within the biopsy. In diseased tissue these can move in opposite directions. For a putative repressor of a type-2 effector cytokine, per-cell levels would be expected to fall in active disease, while the effector compartment that co-expresses both the regulator and its target</w:t>
      </w:r>
      <w:r>
        <w:t xml:space="preserve"> </w:t>
      </w:r>
      <w:r>
        <w:rPr>
          <w:i/>
          <w:iCs/>
        </w:rPr>
        <w:t xml:space="preserve">expands</w:t>
      </w:r>
      <w:r>
        <w:t xml:space="preserve">. A naive sample-level correlation across bulk samples then tracks compositional expansion rather than per-cell regulation, and may flip in sign relative to the per-cell effect. The standard differential-expression and bulk-correlation workflow cannot distinguish</w:t>
      </w:r>
      <w:r>
        <w:t xml:space="preserve"> </w:t>
      </w:r>
      <w:r>
        <w:t xml:space="preserve">“the regulator is not active”</w:t>
      </w:r>
      <w:r>
        <w:t xml:space="preserve"> </w:t>
      </w:r>
      <w:r>
        <w:t xml:space="preserve">from</w:t>
      </w:r>
      <w:r>
        <w:t xml:space="preserve"> </w:t>
      </w:r>
      <w:r>
        <w:t xml:space="preserve">“the regulator is active per-cell but masked by composition,”</w:t>
      </w:r>
      <w:r>
        <w:t xml:space="preserve"> </w:t>
      </w:r>
      <w:r>
        <w:t xml:space="preserve">and no standardised framework currently disentangles the two from bulk transcriptomes alone.</w:t>
      </w:r>
    </w:p>
    <w:p>
      <w:pPr>
        <w:pStyle w:val="BodyText"/>
      </w:pPr>
      <w:r>
        <w:t xml:space="preserve">Here we present a reusable, cell-composition-adjusted re-analysis pipeline designed to close this gap (Fig. 1). The pipeline combines (i) uniform DESeq2/limma differential expression across heterogeneous cohorts with random-effects meta-analysis; (ii) estimation of disease-relevant effector-cell abundance, computed both with a transparent marker-signature score and, independently, with transcriptome-wide deconvolution (xCell); (iii) partial-correlation analysis of sample-level regulator–target covariation, conditioning on the cell-composition estimate; and (iv) a bootstrap decomposition that splits the observed bulk association into a composition-attributable and a residual (within-tissue) component, reported as a statistical partition under a linear model rather than a causal effect. The framework is intentionally restricted to information recoverable from bulk RNA-seq, so that it can be applied retrospectively to the large body of clinically annotated public bulk transcriptomic data.</w:t>
      </w:r>
    </w:p>
    <w:p>
      <w:pPr>
        <w:pStyle w:val="BodyText"/>
      </w:pPr>
      <w:r>
        <w:t xml:space="preserve">We demonstrate the framework on</w:t>
      </w:r>
      <w:r>
        <w:t xml:space="preserve"> </w:t>
      </w:r>
      <w:r>
        <w:rPr>
          <w:i/>
          <w:iCs/>
        </w:rPr>
        <w:t xml:space="preserve">IDI2-AS1</w:t>
      </w:r>
      <w:r>
        <w:t xml:space="preserve">, a recently identified in vitro repressor of</w:t>
      </w:r>
      <w:r>
        <w:t xml:space="preserve"> </w:t>
      </w:r>
      <w:r>
        <w:rPr>
          <w:i/>
          <w:iCs/>
        </w:rPr>
        <w:t xml:space="preserve">IL5</w:t>
      </w:r>
      <w:r>
        <w:t xml:space="preserve"> </w:t>
      </w:r>
      <w:r>
        <w:t xml:space="preserve">[</w:t>
      </w:r>
      <w:hyperlink w:anchor="ref-Endo2025_IDI2AS1">
        <w:r>
          <w:rPr>
            <w:rStyle w:val="Hyperlink"/>
          </w:rPr>
          <w:t xml:space="preserve">5</w:t>
        </w:r>
      </w:hyperlink>
      <w:r>
        <w:t xml:space="preserve">]</w:t>
      </w:r>
      <w:r>
        <w:t xml:space="preserve">, as a worked example. The choice is methodologically deliberate:</w:t>
      </w:r>
      <w:r>
        <w:t xml:space="preserve"> </w:t>
      </w:r>
      <w:r>
        <w:rPr>
          <w:i/>
          <w:iCs/>
        </w:rPr>
        <w:t xml:space="preserve">IDI2-AS1</w:t>
      </w:r>
      <w:r>
        <w:t xml:space="preserve"> </w:t>
      </w:r>
      <w:r>
        <w:t xml:space="preserve">is exactly the class of candidate for which the interpretive problem is acute — a low-abundance, cell-type-restricted lncRNA whose published mechanism predicts a per-cell direction opposite to the direction in which the</w:t>
      </w:r>
      <w:r>
        <w:t xml:space="preserve"> </w:t>
      </w:r>
      <w:r>
        <w:rPr>
          <w:i/>
          <w:iCs/>
        </w:rPr>
        <w:t xml:space="preserve">IDI2-AS1</w:t>
      </w:r>
      <w:r>
        <w:t xml:space="preserve">-expressing effector compartment shifts in active type-2 disease. The</w:t>
      </w:r>
      <w:r>
        <w:t xml:space="preserve"> </w:t>
      </w:r>
      <w:r>
        <w:rPr>
          <w:i/>
          <w:iCs/>
        </w:rPr>
        <w:t xml:space="preserve">IL5</w:t>
      </w:r>
      <w:r>
        <w:t xml:space="preserve"> </w:t>
      </w:r>
      <w:r>
        <w:t xml:space="preserve">axis itself is one of the few cytokine axes in allergic disease with clinically validated protein-level interventions</w:t>
      </w:r>
      <w:r>
        <w:t xml:space="preserve"> </w:t>
      </w:r>
      <w:r>
        <w:t xml:space="preserve">[</w:t>
      </w:r>
      <w:hyperlink w:anchor="ref-Lambrecht2019_type2review">
        <w:r>
          <w:rPr>
            <w:rStyle w:val="Hyperlink"/>
          </w:rPr>
          <w:t xml:space="preserve">6</w:t>
        </w:r>
      </w:hyperlink>
      <w:r>
        <w:t xml:space="preserve">]</w:t>
      </w:r>
      <w:r>
        <w:t xml:space="preserve">, and public bulk RNA-seq cohorts span all four major IL5-driven type-2 inflammatory diseases — asthma</w:t>
      </w:r>
      <w:r>
        <w:t xml:space="preserve"> </w:t>
      </w:r>
      <w:r>
        <w:t xml:space="preserve">[</w:t>
      </w:r>
      <w:hyperlink w:anchor="ref-Sajuthi2020_GSE152004">
        <w:r>
          <w:rPr>
            <w:rStyle w:val="Hyperlink"/>
          </w:rPr>
          <w:t xml:space="preserve">7</w:t>
        </w:r>
      </w:hyperlink>
      <w:r>
        <w:t xml:space="preserve">]</w:t>
      </w:r>
      <w:r>
        <w:t xml:space="preserve">, atopic dermatitis</w:t>
      </w:r>
      <w:r>
        <w:t xml:space="preserve"> </w:t>
      </w:r>
      <w:r>
        <w:t xml:space="preserve">[</w:t>
      </w:r>
      <w:hyperlink w:anchor="ref-Tsoi2018_GSE121212">
        <w:r>
          <w:rPr>
            <w:rStyle w:val="Hyperlink"/>
          </w:rPr>
          <w:t xml:space="preserve">8</w:t>
        </w:r>
      </w:hyperlink>
      <w:r>
        <w:t xml:space="preserve">]</w:t>
      </w:r>
      <w:r>
        <w:t xml:space="preserve">, eosinophilic esophagitis</w:t>
      </w:r>
      <w:r>
        <w:t xml:space="preserve"> </w:t>
      </w:r>
      <w:r>
        <w:t xml:space="preserve">[</w:t>
      </w:r>
      <w:hyperlink w:anchor="ref-Sherrill2014_GSE58640">
        <w:r>
          <w:rPr>
            <w:rStyle w:val="Hyperlink"/>
          </w:rPr>
          <w:t xml:space="preserve">9</w:t>
        </w:r>
      </w:hyperlink>
      <w:r>
        <w:t xml:space="preserve">,</w:t>
      </w:r>
      <w:hyperlink w:anchor="ref-Kleuskens2024_GSE246323">
        <w:r>
          <w:rPr>
            <w:rStyle w:val="Hyperlink"/>
          </w:rPr>
          <w:t xml:space="preserve">10</w:t>
        </w:r>
      </w:hyperlink>
      <w:r>
        <w:t xml:space="preserve">]</w:t>
      </w:r>
      <w:r>
        <w:t xml:space="preserve">, and chronic rhinosinusitis with nasal polyposis</w:t>
      </w:r>
      <w:r>
        <w:t xml:space="preserve"> </w:t>
      </w:r>
      <w:r>
        <w:t xml:space="preserve">[</w:t>
      </w:r>
      <w:hyperlink w:anchor="ref-Peng2019_GSE136825">
        <w:r>
          <w:rPr>
            <w:rStyle w:val="Hyperlink"/>
          </w:rPr>
          <w:t xml:space="preserve">11</w:t>
        </w:r>
      </w:hyperlink>
      <w:r>
        <w:t xml:space="preserve">]</w:t>
      </w:r>
      <w:r>
        <w:t xml:space="preserve"> </w:t>
      </w:r>
      <w:r>
        <w:t xml:space="preserve">— with only the asthma cohort (</w:t>
      </w:r>
      <w:r>
        <w:rPr>
          <w:i/>
          <w:iCs/>
        </w:rPr>
        <w:t xml:space="preserve">n</w:t>
      </w:r>
      <w:r>
        <w:t xml:space="preserve"> </w:t>
      </w:r>
      <w:r>
        <w:t xml:space="preserve">= 695) adequately powered for the full decomposition step, the smaller cohorts serving as underpowered qualitative context only.</w:t>
      </w:r>
    </w:p>
    <w:p>
      <w:pPr>
        <w:pStyle w:val="BodyText"/>
      </w:pPr>
      <w:r>
        <w:t xml:space="preserve">We applied the pipeline to five such cohorts (combined</w:t>
      </w:r>
      <w:r>
        <w:t xml:space="preserve"> </w:t>
      </w:r>
      <w:r>
        <w:rPr>
          <w:i/>
          <w:iCs/>
        </w:rPr>
        <w:t xml:space="preserve">n</w:t>
      </w:r>
      <w:r>
        <w:t xml:space="preserve"> </w:t>
      </w:r>
      <w:r>
        <w:t xml:space="preserve">= 856) to ask three questions: (i) is bulk</w:t>
      </w:r>
      <w:r>
        <w:t xml:space="preserve"> </w:t>
      </w:r>
      <w:r>
        <w:rPr>
          <w:i/>
          <w:iCs/>
        </w:rPr>
        <w:t xml:space="preserve">IDI2-AS1</w:t>
      </w:r>
      <w:r>
        <w:t xml:space="preserve"> </w:t>
      </w:r>
      <w:r>
        <w:t xml:space="preserve">differentially expressed in any of these tissues; (ii) does sample-level</w:t>
      </w:r>
      <w:r>
        <w:t xml:space="preserve"> </w:t>
      </w:r>
      <w:r>
        <w:rPr>
          <w:i/>
          <w:iCs/>
        </w:rPr>
        <w:t xml:space="preserve">IDI2-AS1</w:t>
      </w:r>
      <w:r>
        <w:t xml:space="preserve"> </w:t>
      </w:r>
      <w:r>
        <w:t xml:space="preserve">abundance covary with</w:t>
      </w:r>
      <w:r>
        <w:t xml:space="preserve"> </w:t>
      </w:r>
      <w:r>
        <w:rPr>
          <w:i/>
          <w:iCs/>
        </w:rPr>
        <w:t xml:space="preserve">IL5</w:t>
      </w:r>
      <w:r>
        <w:t xml:space="preserve"> </w:t>
      </w:r>
      <w:r>
        <w:t xml:space="preserve">in the direction predicted by the in vitro repression model; and (iii) when the bulk signal departs from the in vitro prediction, can the cell-composition-adjustment step recover an interpretation consistent with the in vitro mechanism, by partitioning the bulk association into composition-associated and residual components? Our purpose is not to relitigate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which we treat as an independent finding</w:t>
      </w:r>
      <w:r>
        <w:t xml:space="preserve"> </w:t>
      </w:r>
      <w:r>
        <w:t xml:space="preserve">[</w:t>
      </w:r>
      <w:hyperlink w:anchor="ref-Endo2025_IDI2AS1">
        <w:r>
          <w:rPr>
            <w:rStyle w:val="Hyperlink"/>
          </w:rPr>
          <w:t xml:space="preserve">5</w:t>
        </w:r>
      </w:hyperlink>
      <w:r>
        <w:t xml:space="preserve">]</w:t>
      </w:r>
      <w:r>
        <w:t xml:space="preserve">, but to use this candidate as a transparent test case in which the pipeline must reconcile a bulk-tissue null with an in vitro per-cell effect of known direction. The framework that emerges is directly applicable to other low-abundance, cell-type-restricted lncRNA candidates evaluated against bulk-tissue cohorts.</w:t>
      </w:r>
    </w:p>
    <w:bookmarkEnd w:id="10"/>
    <w:bookmarkStart w:id="18" w:name="methods"/>
    <w:p>
      <w:pPr>
        <w:pStyle w:val="Heading2"/>
      </w:pPr>
      <w:r>
        <w:t xml:space="preserve">Methods</w:t>
      </w:r>
    </w:p>
    <w:bookmarkStart w:id="11" w:name="ethics"/>
    <w:p>
      <w:pPr>
        <w:pStyle w:val="Heading3"/>
      </w:pPr>
      <w:r>
        <w:t xml:space="preserve">Ethics</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w:t>
      </w:r>
    </w:p>
    <w:bookmarkEnd w:id="11"/>
    <w:bookmarkStart w:id="12"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GEO and ArrayExpress in March 2026. Inclusion criteria were: (i) human disease tissue with case/control or externally comparable control samples; (ii) RNA-seq at sufficient depth to detect lncRNAs; (iii) availability of per-sample raw counts or FPKM;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(Table 1): asthma (GSE152004,</w:t>
      </w:r>
      <w:r>
        <w:t xml:space="preserve"> </w:t>
      </w:r>
      <w:r>
        <w:rPr>
          <w:i/>
          <w:iCs/>
        </w:rPr>
        <w:t xml:space="preserve">n</w:t>
      </w:r>
      <w:r>
        <w:t xml:space="preserve"> </w:t>
      </w:r>
      <w:r>
        <w:t xml:space="preserve">= 695 nasal epithelial brushings;</w:t>
      </w:r>
      <w:r>
        <w:t xml:space="preserve"> </w:t>
      </w:r>
      <w:r>
        <w:t xml:space="preserve">[</w:t>
      </w:r>
      <w:hyperlink w:anchor="ref-Sajuthi2020_GSE152004">
        <w:r>
          <w:rPr>
            <w:rStyle w:val="Hyperlink"/>
          </w:rPr>
          <w:t xml:space="preserve">7</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w:t>
      </w:r>
      <w:hyperlink w:anchor="ref-Tsoi2018_GSE121212">
        <w:r>
          <w:rPr>
            <w:rStyle w:val="Hyperlink"/>
          </w:rPr>
          <w:t xml:space="preserve">8</w:t>
        </w:r>
      </w:hyperlink>
      <w:r>
        <w:t xml:space="preserve">]</w:t>
      </w:r>
      <w:r>
        <w:t xml:space="preserve">); eosinophilic esophagitis (GSE246323,</w:t>
      </w:r>
      <w:r>
        <w:t xml:space="preserve"> </w:t>
      </w:r>
      <w:r>
        <w:rPr>
          <w:i/>
          <w:iCs/>
        </w:rPr>
        <w:t xml:space="preserve">n</w:t>
      </w:r>
      <w:r>
        <w:t xml:space="preserve"> </w:t>
      </w:r>
      <w:r>
        <w:t xml:space="preserve">= 10;</w:t>
      </w:r>
      <w:r>
        <w:t xml:space="preserve"> </w:t>
      </w:r>
      <w:r>
        <w:t xml:space="preserve">[</w:t>
      </w:r>
      <w:hyperlink w:anchor="ref-Kleuskens2024_GSE246323">
        <w:r>
          <w:rPr>
            <w:rStyle w:val="Hyperlink"/>
          </w:rPr>
          <w:t xml:space="preserve">10</w:t>
        </w:r>
      </w:hyperlink>
      <w:r>
        <w:t xml:space="preserve">]</w:t>
      </w:r>
      <w:r>
        <w:t xml:space="preserve">; and GSE58640,</w:t>
      </w:r>
      <w:r>
        <w:t xml:space="preserve"> </w:t>
      </w:r>
      <w:r>
        <w:rPr>
          <w:i/>
          <w:iCs/>
        </w:rPr>
        <w:t xml:space="preserve">n</w:t>
      </w:r>
      <w:r>
        <w:t xml:space="preserve"> </w:t>
      </w:r>
      <w:r>
        <w:t xml:space="preserve">= 16;</w:t>
      </w:r>
      <w:r>
        <w:t xml:space="preserve"> </w:t>
      </w:r>
      <w:r>
        <w:t xml:space="preserve">[</w:t>
      </w:r>
      <w:hyperlink w:anchor="ref-Sherrill2014_GSE58640">
        <w:r>
          <w:rPr>
            <w:rStyle w:val="Hyperlink"/>
          </w:rPr>
          <w:t xml:space="preserve">9</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w:t>
      </w:r>
      <w:hyperlink w:anchor="ref-Peng2019_GSE136825">
        <w:r>
          <w:rPr>
            <w:rStyle w:val="Hyperlink"/>
          </w:rPr>
          <w:t xml:space="preserve">11</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processed matrix. For GSE136825, only patient nasal-polyp biopsies (NP,</w:t>
      </w:r>
      <w:r>
        <w:t xml:space="preserve"> </w:t>
      </w:r>
      <w:r>
        <w:rPr>
          <w:i/>
          <w:iCs/>
        </w:rPr>
        <w:t xml:space="preserve">n</w:t>
      </w:r>
      <w:r>
        <w:t xml:space="preserve"> </w:t>
      </w:r>
      <w:r>
        <w:t xml:space="preserve">= 42) and healthy-donor inferior-turbinate biopsies (Control IT,</w:t>
      </w:r>
      <w:r>
        <w:t xml:space="preserve"> </w:t>
      </w:r>
      <w:r>
        <w:rPr>
          <w:i/>
          <w:iCs/>
        </w:rPr>
        <w:t xml:space="preserve">n</w:t>
      </w:r>
      <w:r>
        <w:t xml:space="preserve"> </w:t>
      </w:r>
      <w:r>
        <w:t xml:space="preserve">= 28) were used. We note that this particular contrast is confounded by anatomical site (polyp vs turbinate) and donor source (patient vs unrelated healthy donor) and is therefore not structurally matched in the way the other cohorts are; results from this cohort are interpreted with that caveat, and the quantitative decomposition does not rest on it. Sample-to-condition mapping is documented in</w:t>
      </w:r>
      <w:r>
        <w:t xml:space="preserve"> </w:t>
      </w:r>
      <w:r>
        <w:rPr>
          <w:rStyle w:val="VerbatimChar"/>
        </w:rPr>
        <w:t xml:space="preserve">data/metadata/final_datasets.csv</w:t>
      </w:r>
      <w:r>
        <w:t xml:space="preserve"> </w:t>
      </w:r>
      <w:r>
        <w:t xml:space="preserve">and the per-dataset loader scripts. Inclusion criterion (iv) restricts the conclusions to cohorts in which</w:t>
      </w:r>
      <w:r>
        <w:t xml:space="preserve"> </w:t>
      </w:r>
      <w:r>
        <w:rPr>
          <w:i/>
          <w:iCs/>
        </w:rPr>
        <w:t xml:space="preserve">IDI2-AS1</w:t>
      </w:r>
      <w:r>
        <w:t xml:space="preserve"> </w:t>
      </w:r>
      <w:r>
        <w:t xml:space="preserve">is detectably expressed at the bulk level.</w:t>
      </w:r>
    </w:p>
    <w:bookmarkEnd w:id="12"/>
    <w:bookmarkStart w:id="13"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were removed with the conventional DESeq2 pre-filter of total count ≥ 10 across all samples</w:t>
      </w:r>
      <w:r>
        <w:t xml:space="preserve"> </w:t>
      </w:r>
      <w:r>
        <w:t xml:space="preserve">[</w:t>
      </w:r>
      <w:hyperlink w:anchor="ref-Love2014_DESeq2">
        <w:r>
          <w:rPr>
            <w:rStyle w:val="Hyperlink"/>
          </w:rPr>
          <w:t xml:space="preserve">12</w:t>
        </w:r>
      </w:hyperlink>
      <w:r>
        <w:t xml:space="preserve">]</w:t>
      </w:r>
      <w:r>
        <w:t xml:space="preserve">, and differential expression was computed with DESeq2 (v1.42.1) under a single-factor design (</w:t>
      </w:r>
      <w:r>
        <w:rPr>
          <w:rStyle w:val="VerbatimChar"/>
        </w:rPr>
        <w:t xml:space="preserve">~ group</w:t>
      </w:r>
      <w:r>
        <w:t xml:space="preserve">, control as reference) using the Wald test with Benjamini–Hochberg FDR correction. This pre-filter only removes features with essentially no information for dispersion estimation and is not the basis of any detection claim;</w:t>
      </w:r>
      <w:r>
        <w:t xml:space="preserve"> </w:t>
      </w:r>
      <w:r>
        <w:rPr>
          <w:i/>
          <w:iCs/>
        </w:rPr>
        <w:t xml:space="preserve">IDI2-AS1</w:t>
      </w:r>
      <w:r>
        <w:t xml:space="preserve"> </w:t>
      </w:r>
      <w:r>
        <w:t xml:space="preserve">was verified to pass the filter (i.e., to be detectably expressed) in all five retained cohorts prior to analysis, and</w:t>
      </w:r>
      <w:r>
        <w:t xml:space="preserve"> </w:t>
      </w:r>
      <w:r>
        <w:rPr>
          <w:i/>
          <w:iCs/>
        </w:rPr>
        <w:t xml:space="preserve">IL5</w:t>
      </w:r>
      <w:r>
        <w:t xml:space="preserve"> </w:t>
      </w:r>
      <w:r>
        <w:t xml:space="preserve">in four of them;</w:t>
      </w:r>
      <w:r>
        <w:t xml:space="preserve"> </w:t>
      </w:r>
      <w:r>
        <w:rPr>
          <w:i/>
          <w:iCs/>
        </w:rPr>
        <w:t xml:space="preserve">IL5</w:t>
      </w:r>
      <w:r>
        <w:t xml:space="preserve"> </w:t>
      </w:r>
      <w:r>
        <w:t xml:space="preserve">fell below the count threshold in the small GSE246323 cohort (</w:t>
      </w:r>
      <w:r>
        <w:rPr>
          <w:i/>
          <w:iCs/>
        </w:rPr>
        <w:t xml:space="preserve">n</w:t>
      </w:r>
      <w:r>
        <w:t xml:space="preserve"> </w:t>
      </w:r>
      <w:r>
        <w:t xml:space="preserve">= 10) and is therefore excluded from that cohort’s</w:t>
      </w:r>
      <w:r>
        <w:t xml:space="preserve"> </w:t>
      </w:r>
      <w:r>
        <w:rPr>
          <w:i/>
          <w:iCs/>
        </w:rPr>
        <w:t xml:space="preserve">IL5</w:t>
      </w:r>
      <w:r>
        <w:t xml:space="preserve">-dependent steps (Table 2). Detectable</w:t>
      </w:r>
      <w:r>
        <w:t xml:space="preserve"> </w:t>
      </w:r>
      <w:r>
        <w:rPr>
          <w:i/>
          <w:iCs/>
        </w:rPr>
        <w:t xml:space="preserve">IDI2-AS1</w:t>
      </w:r>
      <w:r>
        <w:t xml:space="preserve"> </w:t>
      </w:r>
      <w:r>
        <w:t xml:space="preserve">is the operative inclusion criterion. Because the threshold is a fixed total-count floor rather than a per-group or abundance-stratified cut, it is deliberately permissive for low-abundance transcripts; we note this as a design choice — a more stringent or cohort-size-adaptive filter would remove additional marginal features but does not change the retained focal-gene results, with the documented exceptions of features that are genuinely below threshold in a given cohort (</w:t>
      </w:r>
      <w:r>
        <w:rPr>
          <w:i/>
          <w:iCs/>
        </w:rPr>
        <w:t xml:space="preserve">IL5</w:t>
      </w:r>
      <w:r>
        <w:t xml:space="preserve"> </w:t>
      </w:r>
      <w:r>
        <w:t xml:space="preserve">in GSE246323, and the a-priori comparator</w:t>
      </w:r>
      <w:r>
        <w:t xml:space="preserve"> </w:t>
      </w:r>
      <w:r>
        <w:rPr>
          <w:i/>
          <w:iCs/>
        </w:rPr>
        <w:t xml:space="preserve">LITATS1</w:t>
      </w:r>
      <w:r>
        <w:t xml:space="preserve"> </w:t>
      </w:r>
      <w:r>
        <w:t xml:space="preserve">in the symbol-keyed datasets). The cohorts as deposited do not carry uniformly harmonised covariate metadata (age and sex are absent or inconsistently coded across the five matrices), so the differential-expression and decomposition models condition on case/control status only; residual confounding by demographic covariates therefore cannot be excluded and is noted as a limitation. Effect sizes for the patient-vs-control contrast were stabilised by adaptive shrinkage with apeglm (</w:t>
      </w:r>
      <w:r>
        <w:t xml:space="preserve">[</w:t>
      </w:r>
      <w:hyperlink w:anchor="ref-Zhu2019_apeglm">
        <w:r>
          <w:rPr>
            <w:rStyle w:val="Hyperlink"/>
          </w:rPr>
          <w:t xml:space="preserve">13</w:t>
        </w:r>
      </w:hyperlink>
      <w:r>
        <w:t xml:space="preserve">]</w:t>
      </w:r>
      <w:r>
        <w:t xml:space="preserve">;</w:t>
      </w:r>
      <w:r>
        <w:t xml:space="preserve"> </w:t>
      </w:r>
      <w:r>
        <w:rPr>
          <w:rStyle w:val="VerbatimChar"/>
        </w:rPr>
        <w:t xml:space="preserve">lfcShrink(type = "apeglm")</w:t>
      </w:r>
      <w:r>
        <w:t xml:space="preserve">), and the resulting log</w:t>
      </w:r>
      <w:r>
        <w:rPr>
          <w:vertAlign w:val="subscript"/>
        </w:rPr>
        <w:t xml:space="preserve">2</w:t>
      </w:r>
      <w:r>
        <w:t xml:space="preserve"> </w:t>
      </w:r>
      <w:r>
        <w:t xml:space="preserve">fold-changes and posterior standard errors were used as the input statistics for downstream meta-analysis. For the FPKM dataset (GSE58640), expression was log</w:t>
      </w:r>
      <w:r>
        <w:rPr>
          <w:vertAlign w:val="subscript"/>
        </w:rPr>
        <w:t xml:space="preserve">2</w:t>
      </w:r>
      <w:r>
        <w:t xml:space="preserve">(FPKM + 1)-transformed and analysed with limma (v3.58.1;</w:t>
      </w:r>
      <w:r>
        <w:t xml:space="preserve"> </w:t>
      </w:r>
      <w:r>
        <w:t xml:space="preserve">[</w:t>
      </w:r>
      <w:hyperlink w:anchor="ref-Ritchie2015_limma">
        <w:r>
          <w:rPr>
            <w:rStyle w:val="Hyperlink"/>
          </w:rPr>
          <w:t xml:space="preserve">14</w:t>
        </w:r>
      </w:hyperlink>
      <w:r>
        <w:t xml:space="preserve">]</w:t>
      </w:r>
      <w:r>
        <w:t xml:space="preserve">) using the</w:t>
      </w:r>
      <w:r>
        <w:t xml:space="preserve"> </w:t>
      </w:r>
      <w:r>
        <w:rPr>
          <w:rStyle w:val="VerbatimChar"/>
        </w:rPr>
        <w:t xml:space="preserve">limma-trend</w:t>
      </w:r>
      <w:r>
        <w:t xml:space="preserve"> </w:t>
      </w:r>
      <w:r>
        <w:t xml:space="preserve">workflow. A focal-gene panel covering</w:t>
      </w:r>
      <w:r>
        <w:t xml:space="preserve"> </w:t>
      </w:r>
      <w:r>
        <w:rPr>
          <w:i/>
          <w:iCs/>
        </w:rPr>
        <w:t xml:space="preserve">IDI2-AS1</w:t>
      </w:r>
      <w:r>
        <w:t xml:space="preserve">,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previously identified by our group as stress-responsive in human cells;</w:t>
      </w:r>
      <w:r>
        <w:t xml:space="preserve"> </w:t>
      </w:r>
      <w:r>
        <w:t xml:space="preserve">[</w:t>
      </w:r>
      <w:hyperlink w:anchor="ref-Abe2023_LPS">
        <w:r>
          <w:rPr>
            <w:rStyle w:val="Hyperlink"/>
          </w:rPr>
          <w:t xml:space="preserve">15</w:t>
        </w:r>
      </w:hyperlink>
      <w:r>
        <w:t xml:space="preserve">]</w:t>
      </w:r>
      <w:r>
        <w:t xml:space="preserve">;</w:t>
      </w:r>
      <w:r>
        <w:t xml:space="preserve"> </w:t>
      </w:r>
      <w:r>
        <w:t xml:space="preserve">[</w:t>
      </w:r>
      <w:hyperlink w:anchor="ref-Yagi2024_polyIC">
        <w:r>
          <w:rPr>
            <w:rStyle w:val="Hyperlink"/>
          </w:rPr>
          <w:t xml:space="preserve">16</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the full per-dataset tables are provided in</w:t>
      </w:r>
      <w:r>
        <w:t xml:space="preserve"> </w:t>
      </w:r>
      <w:r>
        <w:rPr>
          <w:rStyle w:val="VerbatimChar"/>
        </w:rPr>
        <w:t xml:space="preserve">results/tables/</w:t>
      </w:r>
      <w:r>
        <w:t xml:space="preserve">.</w:t>
      </w:r>
      <w:r>
        <w:t xml:space="preserve"> </w:t>
      </w:r>
      <w:r>
        <w:rPr>
          <w:i/>
          <w:iCs/>
        </w:rPr>
        <w:t xml:space="preserve">LITATS1</w:t>
      </w:r>
      <w:r>
        <w:t xml:space="preserve"> </w:t>
      </w:r>
      <w:r>
        <w:t xml:space="preserve">fell below the count threshold in all symbol-keyed datasets and is therefore reported only at the level of dataset-wise availability.</w:t>
      </w:r>
    </w:p>
    <w:bookmarkEnd w:id="13"/>
    <w:bookmarkStart w:id="14" w:name="cross-disease-meta-analysis"/>
    <w:p>
      <w:pPr>
        <w:pStyle w:val="Heading3"/>
      </w:pPr>
      <w:r>
        <w:t xml:space="preserve">Cross-disease meta-analysis</w:t>
      </w:r>
    </w:p>
    <w:p>
      <w:pPr>
        <w:pStyle w:val="FirstParagraph"/>
      </w:pPr>
      <w:r>
        <w:t xml:space="preserve">Per-dataset patient-vs-control log</w:t>
      </w:r>
      <w:r>
        <w:rPr>
          <w:vertAlign w:val="subscript"/>
        </w:rPr>
        <w:t xml:space="preserve">2</w:t>
      </w:r>
      <w:r>
        <w:t xml:space="preserve"> </w:t>
      </w:r>
      <w:r>
        <w:t xml:space="preserve">fold-changes and standard errors for each focal gene were combined across cohorts using random-effects meta-analysis (REML,</w:t>
      </w:r>
      <w:r>
        <w:t xml:space="preserve"> </w:t>
      </w:r>
      <w:r>
        <w:rPr>
          <w:rStyle w:val="VerbatimChar"/>
        </w:rPr>
        <w:t xml:space="preserve">metafor::rma</w:t>
      </w:r>
      <w:r>
        <w:t xml:space="preserve">, v4.6-0;</w:t>
      </w:r>
      <w:r>
        <w:t xml:space="preserve"> </w:t>
      </w:r>
      <w:r>
        <w:t xml:space="preserve">[</w:t>
      </w:r>
      <w:hyperlink w:anchor="ref-Viechtbauer2010_metafor">
        <w:r>
          <w:rPr>
            <w:rStyle w:val="Hyperlink"/>
          </w:rPr>
          <w:t xml:space="preserve">17</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rPr>
          <w:vertAlign w:val="superscript"/>
        </w:rP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Ensembl-ID rows in the two Ensembl-keyed datasets (GSE246323 and GSE136825) were collapsed onto HGNC symbols prior to pooling;</w:t>
      </w:r>
      <w:r>
        <w:t xml:space="preserve"> </w:t>
      </w:r>
      <w:r>
        <w:rPr>
          <w:i/>
          <w:iCs/>
        </w:rPr>
        <w:t xml:space="preserve">IDI2-AS1</w:t>
      </w:r>
      <w:r>
        <w:t xml:space="preserve"> </w:t>
      </w:r>
      <w:r>
        <w:t xml:space="preserve">(ENSG00000260196) was available in both, whereas</w:t>
      </w:r>
      <w:r>
        <w:t xml:space="preserve"> </w:t>
      </w:r>
      <w:r>
        <w:rPr>
          <w:i/>
          <w:iCs/>
        </w:rPr>
        <w:t xml:space="preserve">IL5</w:t>
      </w:r>
      <w:r>
        <w:t xml:space="preserve"> </w:t>
      </w:r>
      <w:r>
        <w:t xml:space="preserve">(ENSG00000113525) contributed from GSE136825 only and was below the count threshold in GSE246323.</w:t>
      </w:r>
      <w:r>
        <w:t xml:space="preserve"> </w:t>
      </w:r>
      <w:r>
        <w:rPr>
          <w:i/>
          <w:iCs/>
        </w:rPr>
        <w:t xml:space="preserve">IDI2-AS1</w:t>
      </w:r>
      <w:r>
        <w:t xml:space="preserve"> </w:t>
      </w:r>
      <w:r>
        <w:t xml:space="preserve">was pooled across all five datasets (k = 5);</w:t>
      </w:r>
      <w:r>
        <w:t xml:space="preserve"> </w:t>
      </w:r>
      <w:r>
        <w:rPr>
          <w:i/>
          <w:iCs/>
        </w:rPr>
        <w:t xml:space="preserve">IL5</w:t>
      </w:r>
      <w:r>
        <w:t xml:space="preserve"> </w:t>
      </w:r>
      <w:r>
        <w:t xml:space="preserve">across four (k = 4; below threshold in GSE246323); the comparator lncRNAs across the three symbol-keyed datasets (typically k = 3). The differing number of contributing cohorts between</w:t>
      </w:r>
      <w:r>
        <w:t xml:space="preserve"> </w:t>
      </w:r>
      <w:r>
        <w:rPr>
          <w:i/>
          <w:iCs/>
        </w:rPr>
        <w:t xml:space="preserve">IDI2-AS1</w:t>
      </w:r>
      <w:r>
        <w:t xml:space="preserve"> </w:t>
      </w:r>
      <w:r>
        <w:t xml:space="preserve">(k = 5) and the comparator lncRNAs (k = 3) means the cross-gene contrast in pooled estimates is descriptive rather than a formally matched comparison (noted in Results and Limitations). One further caveat applies to the input statistics: the standard errors entering the random-effects model are apeglm-shrunk posterior SEs for the four DESeq2 cohorts and ordinary sampling SEs for the single limma-trend cohort (GSE58640). These are not identical in nature; because GSE58640 contributes a single small cohort and the qualitative pooled conclusion (a converging near-null for</w:t>
      </w:r>
      <w:r>
        <w:t xml:space="preserve"> </w:t>
      </w:r>
      <w:r>
        <w:rPr>
          <w:i/>
          <w:iCs/>
        </w:rPr>
        <w:t xml:space="preserve">IDI2-AS1</w:t>
      </w:r>
      <w:r>
        <w:t xml:space="preserve">) is unchanged if it is excluded, we retain it but flag the mixed-SE pooling as a limitation.</w:t>
      </w:r>
    </w:p>
    <w:bookmarkEnd w:id="14"/>
    <w:bookmarkStart w:id="15"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variance-stabilised counts (</w:t>
      </w:r>
      <w:r>
        <w:rPr>
          <w:rStyle w:val="VerbatimChar"/>
        </w:rPr>
        <w:t xml:space="preserve">DESeq2::vst(blind = TRUE)</w:t>
      </w:r>
      <w:r>
        <w:t xml:space="preserve">) or from log</w:t>
      </w:r>
      <w:r>
        <w:rPr>
          <w:vertAlign w:val="subscript"/>
        </w:rPr>
        <w:t xml:space="preserve">2</w:t>
      </w:r>
      <w:r>
        <w:t xml:space="preserve">(FPKM + 1) values. Pairwise Spearman correlation was computed per dataset (Fig. 3; Table 3). To test whether bulk</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per-gene</w:t>
      </w:r>
      <w:r>
        <w:t xml:space="preserve"> </w:t>
      </w:r>
      <w:r>
        <w:rPr>
          <w:i/>
          <w:iCs/>
        </w:rPr>
        <w:t xml:space="preserve">z</w:t>
      </w:r>
      <w:r>
        <w:t xml:space="preserve">-scores, with each gene standardised across the samples</w:t>
      </w:r>
      <w:r>
        <w:t xml:space="preserve"> </w:t>
      </w:r>
      <w:r>
        <w:rPr>
          <w:i/>
          <w:iCs/>
        </w:rPr>
        <w:t xml:space="preserve">within</w:t>
      </w:r>
      <w:r>
        <w:t xml:space="preserve"> </w:t>
      </w:r>
      <w:r>
        <w:t xml:space="preserve">a single dataset (no cross-dataset standardisation), so that the score is a within-cohort relative-abundance index.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r>
        <w:t xml:space="preserve"> </w:t>
      </w:r>
      <w:r>
        <w:t xml:space="preserve">[</w:t>
      </w:r>
      <w:hyperlink w:anchor="ref-Kim2015_ppcor">
        <w:r>
          <w:rPr>
            <w:rStyle w:val="Hyperlink"/>
          </w:rPr>
          <w:t xml:space="preserve">18</w:t>
        </w:r>
      </w:hyperlink>
      <w:r>
        <w:t xml:space="preserve">]</w:t>
      </w:r>
      <w:r>
        <w:t xml:space="preserve">, conditioning on both signatures (Fig. 4 and Supplementary Fig. 1; Table 3).</w:t>
      </w:r>
    </w:p>
    <w:p>
      <w:pPr>
        <w:pStyle w:val="BodyText"/>
      </w:pPr>
      <w:r>
        <w:t xml:space="preserve">For the largest cohort (GSE152004 asthma,</w:t>
      </w:r>
      <w:r>
        <w:t xml:space="preserve"> </w:t>
      </w:r>
      <w:r>
        <w:rPr>
          <w:i/>
          <w:iCs/>
        </w:rPr>
        <w:t xml:space="preserve">n</w:t>
      </w:r>
      <w:r>
        <w:t xml:space="preserve"> </w:t>
      </w:r>
      <w:r>
        <w:t xml:space="preserve">= 695), a bootstrap decomposition of the observed</w:t>
      </w:r>
      <w:r>
        <w:t xml:space="preserve"> </w:t>
      </w:r>
      <w:r>
        <w:rPr>
          <w:i/>
          <w:iCs/>
        </w:rPr>
        <w:t xml:space="preserve">IDI2-AS1</w:t>
      </w:r>
      <w:r>
        <w:t xml:space="preserve">–</w:t>
      </w:r>
      <w:r>
        <w:rPr>
          <w:i/>
          <w:iCs/>
        </w:rPr>
        <w:t xml:space="preserve">IL5</w:t>
      </w:r>
      <w:r>
        <w:t xml:space="preserve"> </w:t>
      </w:r>
      <w:r>
        <w:t xml:space="preserve">association was performed with</w:t>
      </w:r>
      <w:r>
        <w:t xml:space="preserve"> </w:t>
      </w:r>
      <w:r>
        <w:rPr>
          <w:rStyle w:val="VerbatimChar"/>
        </w:rPr>
        <w:t xml:space="preserve">mediation::mediate</w:t>
      </w:r>
      <w:r>
        <w:t xml:space="preserve"> </w:t>
      </w:r>
      <w:r>
        <w:t xml:space="preserve">(v4.5.0;</w:t>
      </w:r>
      <w:r>
        <w:t xml:space="preserve"> </w:t>
      </w:r>
      <w:r>
        <w:t xml:space="preserve">[</w:t>
      </w:r>
      <w:hyperlink w:anchor="ref-Tingley2014_mediation">
        <w:r>
          <w:rPr>
            <w:rStyle w:val="Hyperlink"/>
          </w:rPr>
          <w:t xml:space="preserve">19</w:t>
        </w:r>
      </w:hyperlink>
      <w:r>
        <w:t xml:space="preserve">]</w:t>
      </w:r>
      <w:r>
        <w:t xml:space="preserve">) using</w:t>
      </w:r>
      <w:r>
        <w:t xml:space="preserve"> </w:t>
      </w:r>
      <w:r>
        <w:rPr>
          <w:i/>
          <w:iCs/>
        </w:rPr>
        <w:t xml:space="preserve">IDI2-AS1</w:t>
      </w:r>
      <w:r>
        <w:t xml:space="preserve"> </w:t>
      </w:r>
      <w:r>
        <w:t xml:space="preserve">as the predictor, eosinophil abundance as the intermediate covariate, and</w:t>
      </w:r>
      <w:r>
        <w:t xml:space="preserve"> </w:t>
      </w:r>
      <w:r>
        <w:rPr>
          <w:i/>
          <w:iCs/>
        </w:rPr>
        <w:t xml:space="preserve">IL5</w:t>
      </w:r>
      <w:r>
        <w:t xml:space="preserve"> </w:t>
      </w:r>
      <w:r>
        <w:t xml:space="preserve">as the response in a linear model (1,000 nonparametric bootstrap resamples; percentile CIs), reporting the total association together with its composition-attributable and residual components. The eosinophil compartment was used as the sole intermediate covariate — rather than including Th2 in parallel — because eosinophils are the cellular endpoint of the IL5 axis and the compartment that most strongly attenuated the partial correlation. Because the data are cross-sectional and observational, these components are statistical partitions of the association under the assumed linear model, not counterfactual causal effects; this is stated explicitly wherever the decomposition is reported. The same decomposition was also run in the two next-largest cohorts (AD,</w:t>
      </w:r>
      <w:r>
        <w:t xml:space="preserve"> </w:t>
      </w:r>
      <w:r>
        <w:rPr>
          <w:i/>
          <w:iCs/>
        </w:rPr>
        <w:t xml:space="preserve">n</w:t>
      </w:r>
      <w:r>
        <w:t xml:space="preserve"> </w:t>
      </w:r>
      <w:r>
        <w:t xml:space="preserve">= 65; CRSwNP,</w:t>
      </w:r>
      <w:r>
        <w:t xml:space="preserve"> </w:t>
      </w:r>
      <w:r>
        <w:rPr>
          <w:i/>
          <w:iCs/>
        </w:rPr>
        <w:t xml:space="preserve">n</w:t>
      </w:r>
      <w:r>
        <w:t xml:space="preserve"> </w:t>
      </w:r>
      <w:r>
        <w:t xml:space="preserve">= 70) as an exploratory, underpowered check; the smaller EoE cohorts (</w:t>
      </w:r>
      <w:r>
        <w:rPr>
          <w:i/>
          <w:iCs/>
        </w:rPr>
        <w:t xml:space="preserve">n</w:t>
      </w:r>
      <w:r>
        <w:t xml:space="preserve"> </w:t>
      </w:r>
      <w:r>
        <w:t xml:space="preserve">= 10, 16) fell below the</w:t>
      </w:r>
      <w:r>
        <w:t xml:space="preserve"> </w:t>
      </w:r>
      <w:r>
        <w:rPr>
          <w:i/>
          <w:iCs/>
        </w:rPr>
        <w:t xml:space="preserve">n</w:t>
      </w:r>
      <w:r>
        <w:t xml:space="preserve"> </w:t>
      </w:r>
      <w:r>
        <w:t xml:space="preserve">≥ 20 threshold for stable bootstrap estimation and were not decomposed.</w:t>
      </w:r>
    </w:p>
    <w:p>
      <w:pPr>
        <w:pStyle w:val="BodyText"/>
      </w:pPr>
      <w:r>
        <w:t xml:space="preserve">To test whether the cell-composition result depends on the marker-mean proxy, the partial correlation and the decomposition were repeated using an independent, transcriptome-wide deconvolution. Per-sample abundance of 64 cell types, including eosinophils, was estimated with xCell</w:t>
      </w:r>
      <w:r>
        <w:t xml:space="preserve"> </w:t>
      </w:r>
      <w:r>
        <w:t xml:space="preserve">[</w:t>
      </w:r>
      <w:hyperlink w:anchor="ref-Aran2017_xCell">
        <w:r>
          <w:rPr>
            <w:rStyle w:val="Hyperlink"/>
          </w:rPr>
          <w:t xml:space="preserve">20</w:t>
        </w:r>
      </w:hyperlink>
      <w:r>
        <w:t xml:space="preserve">]</w:t>
      </w:r>
      <w:r>
        <w:t xml:space="preserve"> </w:t>
      </w:r>
      <w:r>
        <w:t xml:space="preserve">from library-size-normalised expression (DESeq2 normalised counts for count datasets; FPKM for GSE58640), with Ensembl identifiers mapped to HGNC symbols via Ensembl BioMart. Because xCell’s default spillover-compensation step floored the eosinophil estimate in the epithelial cohorts (driving ≈ 41 % of asthma samples to exactly zero with near-zero variance), we used the raw ssGSEA enrichment score — which retained a biologically plausible non-zero distribution — as the abundance estimate for this rare, spillover-prone cell type, and report the compensated score alongside it to document the artifact (Fig. 6). Concordance between the marker and xCell eosinophil estimates was assessed by Spearman correlation. Robustness of the decomposition to unmeasured intermediate–outcome confounding was assessed with</w:t>
      </w:r>
      <w:r>
        <w:t xml:space="preserve"> </w:t>
      </w:r>
      <w:r>
        <w:rPr>
          <w:rStyle w:val="VerbatimChar"/>
        </w:rPr>
        <w:t xml:space="preserve">mediation::medsens</w:t>
      </w:r>
      <w:r>
        <w:t xml:space="preserve"> </w:t>
      </w:r>
      <w:r>
        <w:t xml:space="preserve">[</w:t>
      </w:r>
      <w:hyperlink w:anchor="ref-Imai2010_StatSci">
        <w:r>
          <w:rPr>
            <w:rStyle w:val="Hyperlink"/>
          </w:rPr>
          <w:t xml:space="preserve">21</w:t>
        </w:r>
      </w:hyperlink>
      <w:r>
        <w:t xml:space="preserve">]</w:t>
      </w:r>
      <w:r>
        <w:t xml:space="preserve">, which reports the residual correlation ρ at which the composition-attributable component would be nullified. CIBERSORTx-ready</w:t>
      </w:r>
      <w:r>
        <w:t xml:space="preserve"> </w:t>
      </w:r>
      <w:r>
        <w:t xml:space="preserve">[</w:t>
      </w:r>
      <w:hyperlink w:anchor="ref-Newman2019_CIBERSORTx">
        <w:r>
          <w:rPr>
            <w:rStyle w:val="Hyperlink"/>
          </w:rPr>
          <w:t xml:space="preserve">22</w:t>
        </w:r>
      </w:hyperlink>
      <w:r>
        <w:t xml:space="preserve">]</w:t>
      </w:r>
      <w:r>
        <w:t xml:space="preserve"> </w:t>
      </w:r>
      <w:r>
        <w:t xml:space="preserve">CPM/FPKM input matrices are additionally provided in</w:t>
      </w:r>
      <w:r>
        <w:t xml:space="preserve"> </w:t>
      </w:r>
      <w:r>
        <w:rPr>
          <w:rStyle w:val="VerbatimChar"/>
        </w:rPr>
        <w:t xml:space="preserve">results/intermediate/cibersortx_input/</w:t>
      </w:r>
      <w:r>
        <w:t xml:space="preserve"> </w:t>
      </w:r>
      <w:r>
        <w:t xml:space="preserve">for verification against the LM22 reference. Generative-AI use in preparing this work is disclosed in full in the Declarations.</w:t>
      </w:r>
    </w:p>
    <w:bookmarkEnd w:id="15"/>
    <w:bookmarkStart w:id="16"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type-2 cytokine network, two heatmaps were produced with ComplexHeatmap (v2.18.0;</w:t>
      </w:r>
      <w:r>
        <w:t xml:space="preserve"> </w:t>
      </w:r>
      <w:r>
        <w:t xml:space="preserve">[</w:t>
      </w:r>
      <w:hyperlink w:anchor="ref-Gu2016_ComplexHeatmap">
        <w:r>
          <w:rPr>
            <w:rStyle w:val="Hyperlink"/>
          </w:rPr>
          <w:t xml:space="preserve">23</w:t>
        </w:r>
      </w:hyperlink>
      <w:r>
        <w:t xml:space="preserve">]</w:t>
      </w:r>
      <w:r>
        <w:t xml:space="preserve">) as Fig. 5A (lncRNAs) and 5B (cytokines). Per-dataset patient-vs-control log</w:t>
      </w:r>
      <w:r>
        <w:rPr>
          <w:vertAlign w:val="subscript"/>
        </w:rPr>
        <w:t xml:space="preserve">2</w:t>
      </w:r>
      <w:r>
        <w:t xml:space="preserve"> </w:t>
      </w:r>
      <w:r>
        <w:t xml:space="preserve">fold-changes were assembled into a gene × dataset matrix, rows ordered with the focal gene on top, and a symmetric colour scale clipped at ±1 log</w:t>
      </w:r>
      <w:r>
        <w:rPr>
          <w:vertAlign w:val="subscript"/>
        </w:rPr>
        <w:t xml:space="preserve">2</w:t>
      </w:r>
      <w:r>
        <w:t xml:space="preserve"> </w:t>
      </w:r>
      <w:r>
        <w:t xml:space="preserve">unit for the lncRNA panel (Fig. 5A, which spans the full observed range of those features) and at ±4 log</w:t>
      </w:r>
      <w:r>
        <w:rPr>
          <w:vertAlign w:val="subscript"/>
        </w:rPr>
        <w:t xml:space="preserve">2</w:t>
      </w:r>
      <w:r>
        <w:t xml:space="preserve"> </w:t>
      </w:r>
      <w:r>
        <w:t xml:space="preserve">units for the cytokine panel (Fig. 5B, to accommodate the</w:t>
      </w:r>
      <w:r>
        <w:t xml:space="preserve"> </w:t>
      </w:r>
      <w:r>
        <w:rPr>
          <w:i/>
          <w:iCs/>
        </w:rPr>
        <w:t xml:space="preserve">IL13</w:t>
      </w:r>
      <w:r>
        <w:t xml:space="preserve">-in-AD outlier).</w:t>
      </w:r>
    </w:p>
    <w:bookmarkEnd w:id="16"/>
    <w:bookmarkStart w:id="17"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w:t>
      </w:r>
    </w:p>
    <w:bookmarkEnd w:id="17"/>
    <w:bookmarkEnd w:id="18"/>
    <w:bookmarkStart w:id="25" w:name="results-application"/>
    <w:p>
      <w:pPr>
        <w:pStyle w:val="Heading2"/>
      </w:pPr>
      <w:r>
        <w:t xml:space="preserve">Results / Application</w:t>
      </w:r>
    </w:p>
    <w:bookmarkStart w:id="19" w:name="Xf0d7ce03e84acedaf5b3081b04544f35cf52417"/>
    <w:p>
      <w:pPr>
        <w:pStyle w:val="Heading3"/>
      </w:pPr>
      <w:r>
        <w:t xml:space="preserve">Pipeline Step 1: uniform differential expression and meta-analysis returns a converging bulk-tissue null for</w:t>
      </w:r>
      <w:r>
        <w:t xml:space="preserve"> </w:t>
      </w:r>
      <w:r>
        <w:rPr>
          <w:i/>
          <w:iCs/>
        </w:rPr>
        <w:t xml:space="preserve">IDI2-AS1</w:t>
      </w:r>
    </w:p>
    <w:p>
      <w:pPr>
        <w:pStyle w:val="FirstParagraph"/>
      </w:pPr>
      <w:r>
        <w:t xml:space="preserve">To demonstrate the first stage of the pipeline, we applied uniform DESeq2 / limma-trend differential-expression analysis followed by random-effects meta-analysis to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non-significant in every dataset (Table 2): log</w:t>
      </w:r>
      <w:r>
        <w:rPr>
          <w:vertAlign w:val="subscript"/>
        </w:rPr>
        <w:t xml:space="preserve">2</w:t>
      </w:r>
      <w:r>
        <w:t xml:space="preserve">FC ranged from −0.234 (atopic dermatitis;</w:t>
      </w:r>
      <w:r>
        <w:t xml:space="preserve"> </w:t>
      </w:r>
      <w:r>
        <w:rPr>
          <w:i/>
          <w:iCs/>
        </w:rPr>
        <w:t xml:space="preserve">p</w:t>
      </w:r>
      <w:r>
        <w:rPr>
          <w:vertAlign w:val="subscript"/>
        </w:rPr>
        <w:t xml:space="preserve">adj</w:t>
      </w:r>
      <w:r>
        <w:t xml:space="preserve"> </w:t>
      </w:r>
      <w:r>
        <w:t xml:space="preserve">= 0.41) to +0.246 (eosinophilic esophagitis, GSE58640;</w:t>
      </w:r>
      <w:r>
        <w:t xml:space="preserve"> </w:t>
      </w:r>
      <w:r>
        <w:rPr>
          <w:i/>
          <w:iCs/>
        </w:rPr>
        <w:t xml:space="preserve">p</w:t>
      </w:r>
      <w:r>
        <w:rPr>
          <w:vertAlign w:val="subscript"/>
        </w:rPr>
        <w:t xml:space="preserve">adj</w:t>
      </w:r>
      <w:r>
        <w:t xml:space="preserve"> </w:t>
      </w:r>
      <w:r>
        <w:t xml:space="preserve">= 0.15). At the meta-analytic level, random-effects pooling returned an overall log</w:t>
      </w:r>
      <w:r>
        <w:rPr>
          <w:vertAlign w:val="subscript"/>
        </w:rPr>
        <w:t xml:space="preserve">2</w:t>
      </w:r>
      <w:r>
        <w:t xml:space="preserve">FC of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rPr>
          <w:vertAlign w:val="superscript"/>
        </w:rPr>
        <w:t xml:space="preserve">2</w:t>
      </w:r>
      <w:r>
        <w:t xml:space="preserve"> </w:t>
      </w:r>
      <w:r>
        <w:t xml:space="preserve">= 0.26 %; Fig. 2A). We emphasise that a low</w:t>
      </w:r>
      <w:r>
        <w:t xml:space="preserve"> </w:t>
      </w:r>
      <w:r>
        <w:rPr>
          <w:i/>
          <w:iCs/>
        </w:rPr>
        <w:t xml:space="preserve">I</w:t>
      </w:r>
      <w:r>
        <w:rPr>
          <w:vertAlign w:val="superscript"/>
        </w:rPr>
        <w:t xml:space="preserve">2</w:t>
      </w:r>
      <w:r>
        <w:t xml:space="preserve"> </w:t>
      </w:r>
      <w:r>
        <w:t xml:space="preserve">is consistent with — but does not on its own prove — a genuinely convergent absence of effect: near-zero heterogeneity can also arise when every contributing cohort is individually underpowered for a small effect, or when truly distinct tissue mechanisms happen to yield similar pooled magnitudes. What licenses the convergent-null reading here is not the</w:t>
      </w:r>
      <w:r>
        <w:t xml:space="preserve"> </w:t>
      </w:r>
      <w:r>
        <w:rPr>
          <w:i/>
          <w:iCs/>
        </w:rPr>
        <w:t xml:space="preserve">I</w:t>
      </w:r>
      <w:r>
        <w:rPr>
          <w:vertAlign w:val="superscript"/>
        </w:rPr>
        <w:t xml:space="preserve">2</w:t>
      </w:r>
      <w:r>
        <w:t xml:space="preserve"> </w:t>
      </w:r>
      <w:r>
        <w:t xml:space="preserve">value alone but its combination with adequate positive-control recovery in the same datasets: we recovered the canonical type-2 / inflammatory signature with the expected magnitude —</w:t>
      </w:r>
      <w:r>
        <w:t xml:space="preserve"> </w:t>
      </w:r>
      <w:r>
        <w:rPr>
          <w:i/>
          <w:iCs/>
        </w:rPr>
        <w:t xml:space="preserve">IL13</w:t>
      </w:r>
      <w:r>
        <w:t xml:space="preserve"> </w:t>
      </w:r>
      <w:r>
        <w:t xml:space="preserve">upregulated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EoE (Sherrill log</w:t>
      </w:r>
      <w:r>
        <w:rPr>
          <w:vertAlign w:val="subscript"/>
        </w:rPr>
        <w:t xml:space="preserve">2</w:t>
      </w:r>
      <w:r>
        <w:t xml:space="preserve">FC = +0.91);</w:t>
      </w:r>
      <w:r>
        <w:t xml:space="preserve"> </w:t>
      </w:r>
      <w:r>
        <w:rPr>
          <w:i/>
          <w:iCs/>
        </w:rPr>
        <w:t xml:space="preserve">IL6</w:t>
      </w:r>
      <w:r>
        <w:t xml:space="preserve"> </w:t>
      </w:r>
      <w:r>
        <w:t xml:space="preserve">and</w:t>
      </w:r>
      <w:r>
        <w:t xml:space="preserve"> </w:t>
      </w:r>
      <w:r>
        <w:rPr>
          <w:i/>
          <w:iCs/>
        </w:rPr>
        <w:t xml:space="preserve">TNF</w:t>
      </w:r>
      <w:r>
        <w:t xml:space="preserve"> </w:t>
      </w:r>
      <w:r>
        <w:t xml:space="preserve">significantly elevated in AD; and</w:t>
      </w:r>
      <w:r>
        <w:t xml:space="preserve"> </w:t>
      </w:r>
      <w:r>
        <w:rPr>
          <w:i/>
          <w:iCs/>
        </w:rPr>
        <w:t xml:space="preserve">IL5</w:t>
      </w:r>
      <w:r>
        <w:t xml:space="preserve"> </w:t>
      </w:r>
      <w:r>
        <w:t xml:space="preserve">itself upregulated in asthma (log</w:t>
      </w:r>
      <w:r>
        <w:rPr>
          <w:vertAlign w:val="subscript"/>
        </w:rPr>
        <w:t xml:space="preserve">2</w:t>
      </w:r>
      <w:r>
        <w:t xml:space="preserve">FC = +0.42,</w:t>
      </w:r>
      <w:r>
        <w:t xml:space="preserve"> </w:t>
      </w:r>
      <w:r>
        <w:rPr>
          <w:i/>
          <w:iCs/>
        </w:rPr>
        <w:t xml:space="preserve">p</w:t>
      </w:r>
      <w:r>
        <w:rPr>
          <w:vertAlign w:val="subscript"/>
        </w:rPr>
        <w:t xml:space="preserve">adj</w:t>
      </w:r>
      <w:r>
        <w:t xml:space="preserve"> </w:t>
      </w:r>
      <w:r>
        <w:t xml:space="preserve">= 0.014) and EoE-Sherrill (Fig. 2B). Read on its own, Step 1 would be filed by standard interpretation as evidence against in vivo regulatory relevance of</w:t>
      </w:r>
      <w:r>
        <w:t xml:space="preserve"> </w:t>
      </w:r>
      <w:r>
        <w:rPr>
          <w:i/>
          <w:iCs/>
        </w:rPr>
        <w:t xml:space="preserve">IDI2-AS1</w:t>
      </w:r>
      <w:r>
        <w:t xml:space="preserve">.</w:t>
      </w:r>
    </w:p>
    <w:bookmarkEnd w:id="19"/>
    <w:bookmarkStart w:id="20" w:name="X7eee5d986f832e823002eac2475edb9cc1ad2dd"/>
    <w:p>
      <w:pPr>
        <w:pStyle w:val="Heading3"/>
      </w:pPr>
      <w:r>
        <w:t xml:space="preserve">Pipeline Step 2: sample-level correlation reveals a sign-inverted bulk-tissue signal</w:t>
      </w:r>
    </w:p>
    <w:p>
      <w:pPr>
        <w:pStyle w:val="FirstParagraph"/>
      </w:pPr>
      <w:r>
        <w:t xml:space="preserve">The second stage estimated sample-level Spearman correlations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in the four cohorts where both transcripts were reliably quantified (Fig. 3; Table 3). Contrary to the cell-line prediction of a negative association — the in vitro mechanism implies loss of</w:t>
      </w:r>
      <w:r>
        <w:t xml:space="preserve"> </w:t>
      </w:r>
      <w:r>
        <w:rPr>
          <w:i/>
          <w:iCs/>
        </w:rPr>
        <w:t xml:space="preserve">IDI2-AS1</w:t>
      </w:r>
      <w:r>
        <w:t xml:space="preserve"> </w:t>
      </w:r>
      <w:r>
        <w:t xml:space="preserve">→</w:t>
      </w:r>
      <w:r>
        <w:t xml:space="preserve"> </w:t>
      </w:r>
      <w:r>
        <w:rPr>
          <w:i/>
          <w:iCs/>
        </w:rPr>
        <w:t xml:space="preserve">IL5</w:t>
      </w:r>
      <w:r>
        <w:t xml:space="preserve"> </w:t>
      </w:r>
      <w:r>
        <w:t xml:space="preserve">↑, predicting an inverse within-cell relationship — all four datasets returned a</w:t>
      </w:r>
      <w:r>
        <w:t xml:space="preserve"> </w:t>
      </w:r>
      <w:r>
        <w:rPr>
          <w:i/>
          <w:iCs/>
        </w:rPr>
        <w:t xml:space="preserve">positive</w:t>
      </w:r>
      <w:r>
        <w:t xml:space="preserve"> </w:t>
      </w:r>
      <w:r>
        <w:t xml:space="preserve">Spearman correlation: ρ = +0.109 (</w:t>
      </w:r>
      <w:r>
        <w:rPr>
          <w:i/>
          <w:iCs/>
        </w:rPr>
        <w:t xml:space="preserve">p</w:t>
      </w:r>
      <w:r>
        <w:t xml:space="preserve"> </w:t>
      </w:r>
      <w:r>
        <w:t xml:space="preserve">= 0.004) in asthma (GSE152004,</w:t>
      </w:r>
      <w:r>
        <w:t xml:space="preserve"> </w:t>
      </w:r>
      <w:r>
        <w:rPr>
          <w:i/>
          <w:iCs/>
        </w:rPr>
        <w:t xml:space="preserve">n</w:t>
      </w:r>
      <w:r>
        <w:t xml:space="preserve"> </w:t>
      </w:r>
      <w:r>
        <w:t xml:space="preserve">= 695, by far the largest); ρ = +0.489 (</w:t>
      </w:r>
      <w:r>
        <w:rPr>
          <w:i/>
          <w:iCs/>
        </w:rPr>
        <w:t xml:space="preserve">p</w:t>
      </w:r>
      <w:r>
        <w:t xml:space="preserve"> </w:t>
      </w:r>
      <w:r>
        <w:t xml:space="preserve">= 0.054) in EoE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AD. The directional inversion between Step 1 (converging null) and Step 2 (positive bulk correlation, significant in the largest cohort) is precisely the interpretive failure mode the cell-composition-adjustment stage is designed to address.</w:t>
      </w:r>
    </w:p>
    <w:bookmarkEnd w:id="20"/>
    <w:bookmarkStart w:id="21" w:name="Xe2cf00a96477aa3ca5f96ae6716e4a349db5e42"/>
    <w:p>
      <w:pPr>
        <w:pStyle w:val="Heading3"/>
      </w:pPr>
      <w:r>
        <w:t xml:space="preserve">Pipeline Step 3: cell-composition adjustment attributes the bulk-tissue association to eosinophil abundance</w:t>
      </w:r>
    </w:p>
    <w:p>
      <w:pPr>
        <w:pStyle w:val="FirstParagraph"/>
      </w:pPr>
      <w:r>
        <w:t xml:space="preserve">The third stage tested whether the inverted-direction sample-level signal could be attributed to bulk RNA-seq mixing effector cells (Th2, ILC2, eosinophils) co-expressing both transcripts with bystander cells expressing neither.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and Supplementary Fig. 1; Table 3). Adjustment attenuated the estimate in the three cohorts with a non-trivial raw association, abolishing it in asthma: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EoE ρ dropped from +0.489 to +0.425 (</w:t>
      </w:r>
      <w:r>
        <w:rPr>
          <w:i/>
          <w:iCs/>
        </w:rPr>
        <w:t xml:space="preserve">p</w:t>
      </w:r>
      <w:r>
        <w:t xml:space="preserve"> </w:t>
      </w:r>
      <w:r>
        <w:t xml:space="preserve">= 0.13); the AD ρ collapsed from +0.060 to +0.010 (</w:t>
      </w:r>
      <w:r>
        <w:rPr>
          <w:i/>
          <w:iCs/>
        </w:rPr>
        <w:t xml:space="preserve">p</w:t>
      </w:r>
      <w:r>
        <w:t xml:space="preserve"> </w:t>
      </w:r>
      <w:r>
        <w:t xml:space="preserve">= 0.94). In CRSwNP, which had no significant raw association to begin with (ρ = +0.085,</w:t>
      </w:r>
      <w:r>
        <w:t xml:space="preserve"> </w:t>
      </w:r>
      <w:r>
        <w:rPr>
          <w:i/>
          <w:iCs/>
        </w:rPr>
        <w:t xml:space="preserve">p</w:t>
      </w:r>
      <w:r>
        <w:t xml:space="preserve"> </w:t>
      </w:r>
      <w:r>
        <w:t xml:space="preserve">= 0.48), the partial estimate was marginally higher (+0.135,</w:t>
      </w:r>
      <w:r>
        <w:t xml:space="preserve"> </w:t>
      </w:r>
      <w:r>
        <w:rPr>
          <w:i/>
          <w:iCs/>
        </w:rPr>
        <w:t xml:space="preserve">p</w:t>
      </w:r>
      <w:r>
        <w:t xml:space="preserve"> </w:t>
      </w:r>
      <w:r>
        <w:t xml:space="preserve">= 0.27) rather than attenuated — as expected when there is no real bulk association to remove.</w:t>
      </w:r>
    </w:p>
    <w:p>
      <w:pPr>
        <w:pStyle w:val="BodyText"/>
      </w:pPr>
      <w:r>
        <w:t xml:space="preserve">To formalise the contribution of the eosinophil compartment, the fourth pipeline stage — bootstrap effect decomposition — was applied in asthma (1,000 simulations;</w:t>
      </w:r>
      <w:r>
        <w:t xml:space="preserve"> </w:t>
      </w:r>
      <w:r>
        <w:rPr>
          <w:i/>
          <w:iCs/>
        </w:rPr>
        <w:t xml:space="preserve">IDI2-AS1</w:t>
      </w:r>
      <w:r>
        <w:t xml:space="preserve"> </w:t>
      </w:r>
      <w:r>
        <w:t xml:space="preserve">as exposure, eosinophil signature as the intermediate variable,</w:t>
      </w:r>
      <w:r>
        <w:t xml:space="preserve"> </w:t>
      </w:r>
      <w:r>
        <w:rPr>
          <w:i/>
          <w:iCs/>
        </w:rPr>
        <w:t xml:space="preserve">IL5</w:t>
      </w:r>
      <w:r>
        <w:t xml:space="preserve"> </w:t>
      </w:r>
      <w:r>
        <w:t xml:space="preserve">as outcome). We report this decomposition as a</w:t>
      </w:r>
      <w:r>
        <w:t xml:space="preserve"> </w:t>
      </w:r>
      <w:r>
        <w:rPr>
          <w:b/>
          <w:bCs/>
        </w:rPr>
        <w:t xml:space="preserve">statistical partition of the observed cross-sectional association under a linear model, not as a causal effect</w:t>
      </w:r>
      <w:r>
        <w:t xml:space="preserve">: with single-timepoint bulk tissue samples (biopsies and, for asthma, epithelial brushings) the temporal-ordering and no-unmeasured-confounding assumptions required for a causal interpretation cannot be verified (see Limitations). Under this decomposition the total</w:t>
      </w:r>
      <w:r>
        <w:t xml:space="preserve"> </w:t>
      </w:r>
      <w:r>
        <w:rPr>
          <w:i/>
          <w:iCs/>
        </w:rPr>
        <w:t xml:space="preserve">IDI2-AS1</w:t>
      </w:r>
      <w:r>
        <w:t xml:space="preserve">–</w:t>
      </w:r>
      <w:r>
        <w:rPr>
          <w:i/>
          <w:iCs/>
        </w:rPr>
        <w:t xml:space="preserve">IL5</w:t>
      </w:r>
      <w:r>
        <w:t xml:space="preserve"> </w:t>
      </w:r>
      <w:r>
        <w:t xml:space="preserve">association was +0.121 (</w:t>
      </w:r>
      <w:r>
        <w:rPr>
          <w:i/>
          <w:iCs/>
        </w:rPr>
        <w:t xml:space="preserve">p</w:t>
      </w:r>
      <w:r>
        <w:t xml:space="preserve"> </w:t>
      </w:r>
      <w:r>
        <w:t xml:space="preserve">= 0.05); the component statistically attributable to eosinophil abundance was +0.109 (95 % CI [+0.041, +0.176],</w:t>
      </w:r>
      <w:r>
        <w:t xml:space="preserve"> </w:t>
      </w:r>
      <w:r>
        <w:rPr>
          <w:i/>
          <w:iCs/>
        </w:rPr>
        <w:t xml:space="preserve">p</w:t>
      </w:r>
      <w:r>
        <w:t xml:space="preserve"> </w:t>
      </w:r>
      <w:r>
        <w:t xml:space="preserve">= 0.002), and the residual component holding the eosinophil signature constant was +0.012 (95 % CI [−0.075, +0.106],</w:t>
      </w:r>
      <w:r>
        <w:t xml:space="preserve"> </w:t>
      </w:r>
      <w:r>
        <w:rPr>
          <w:i/>
          <w:iCs/>
        </w:rPr>
        <w:t xml:space="preserve">p</w:t>
      </w:r>
      <w:r>
        <w:t xml:space="preserve"> </w:t>
      </w:r>
      <w:r>
        <w:t xml:space="preserve">= 0.76) — indistinguishable from zero. The proportion of the bulk association attributable to the eosinophil compartment was 0.90 under the marker signature. A sensitivity analysis for unmeasured intermediate–outcome confounding (medsens;</w:t>
      </w:r>
      <w:r>
        <w:t xml:space="preserve"> </w:t>
      </w:r>
      <w:r>
        <w:t xml:space="preserve">[</w:t>
      </w:r>
      <w:hyperlink w:anchor="ref-Imai2010_StatSci">
        <w:r>
          <w:rPr>
            <w:rStyle w:val="Hyperlink"/>
          </w:rPr>
          <w:t xml:space="preserve">21</w:t>
        </w:r>
      </w:hyperlink>
      <w:r>
        <w:t xml:space="preserve">]</w:t>
      </w:r>
      <w:r>
        <w:t xml:space="preserve">) indicated that a confounder strong enough to induce a residual correlation of ρ ≈ 0.60 would be required to drive this component to zero, so the partition is moderately robust to plausible unmeasured confounding.</w:t>
      </w:r>
    </w:p>
    <w:p>
      <w:pPr>
        <w:pStyle w:val="BodyText"/>
      </w:pPr>
      <w:r>
        <w:rPr>
          <w:b/>
          <w:bCs/>
        </w:rPr>
        <w:t xml:space="preserve">Robustness check with an independent deconvolution method.</w:t>
      </w:r>
      <w:r>
        <w:t xml:space="preserve"> </w:t>
      </w:r>
      <w:r>
        <w:t xml:space="preserve">Because a marker-mean</w:t>
      </w:r>
      <w:r>
        <w:t xml:space="preserve"> </w:t>
      </w:r>
      <w:r>
        <w:rPr>
          <w:i/>
          <w:iCs/>
        </w:rPr>
        <w:t xml:space="preserve">z</w:t>
      </w:r>
      <w:r>
        <w:t xml:space="preserve">-score is a coarse stand-in for cell-type abundance, we asked whether the same conclusion holds under an independent, transcriptome-wide deconvolution. We estimated per-sample eosinophil abundance with xCell (an ssGSEA-based method modelling 64 cell types) and repeated both the partial correlation and the decomposition using the xCell eosinophil estimate in place of the marker score (Fig. 6; Methods). The two estimates of eosinophil abundance were concordant in the asthma cohort (Spearman ρ = 0.62). Conditioning on the xCell eosinophil estimate attenuated the asthma</w:t>
      </w:r>
      <w:r>
        <w:t xml:space="preserve"> </w:t>
      </w:r>
      <w:r>
        <w:rPr>
          <w:i/>
          <w:iCs/>
        </w:rPr>
        <w:t xml:space="preserve">IDI2-AS1</w:t>
      </w:r>
      <w:r>
        <w:t xml:space="preserve">↔</w:t>
      </w:r>
      <w:r>
        <w:rPr>
          <w:i/>
          <w:iCs/>
        </w:rPr>
        <w:t xml:space="preserve">IL5</w:t>
      </w:r>
      <w:r>
        <w:t xml:space="preserve"> </w:t>
      </w:r>
      <w:r>
        <w:t xml:space="preserve">correlation from +0.109 to a partial ρ of +0.074 (</w:t>
      </w:r>
      <w:r>
        <w:rPr>
          <w:i/>
          <w:iCs/>
        </w:rPr>
        <w:t xml:space="preserve">p</w:t>
      </w:r>
      <w:r>
        <w:t xml:space="preserve"> </w:t>
      </w:r>
      <w:r>
        <w:t xml:space="preserve">= 0.051), and the bootstrap decomposition attributed +0.084 of the +0.121 total association to eosinophil abundance (95 % CI [+0.024, +0.143],</w:t>
      </w:r>
      <w:r>
        <w:t xml:space="preserve"> </w:t>
      </w:r>
      <w:r>
        <w:rPr>
          <w:i/>
          <w:iCs/>
        </w:rPr>
        <w:t xml:space="preserve">p</w:t>
      </w:r>
      <w:r>
        <w:t xml:space="preserve"> </w:t>
      </w:r>
      <w:r>
        <w:t xml:space="preserve">= 0.006; proportion 0.70; sensitivity threshold ρ ≈ 0.50). The eosinophil-composition explanation is therefore reproduced by xCell raw enrichment derived from transcriptome-wide signatures — an estimate independent of the seven-gene marker panel, though still an enrichment score rather than a calibrated cell fraction — with a more conservative point estimate:</w:t>
      </w:r>
      <w:r>
        <w:t xml:space="preserve"> </w:t>
      </w:r>
      <w:r>
        <w:rPr>
          <w:b/>
          <w:bCs/>
        </w:rPr>
        <w:t xml:space="preserve">between ≈ 70 % (independent deconvolution) and ≈ 90 % (marker signature) of the apparent positive bulk</w:t>
      </w:r>
      <w:r>
        <w:rPr>
          <w:b/>
          <w:bCs/>
        </w:rPr>
        <w:t xml:space="preserve"> </w:t>
      </w:r>
      <w:r>
        <w:rPr>
          <w:b/>
          <w:bCs/>
          <w:i/>
          <w:iCs/>
        </w:rPr>
        <w:t xml:space="preserve">IDI2-AS1</w:t>
      </w:r>
      <w:r>
        <w:rPr>
          <w:b/>
          <w:bCs/>
        </w:rPr>
        <w:t xml:space="preserve">↔</w:t>
      </w:r>
      <w:r>
        <w:rPr>
          <w:b/>
          <w:bCs/>
          <w:i/>
          <w:iCs/>
        </w:rPr>
        <w:t xml:space="preserve">IL5</w:t>
      </w:r>
      <w:r>
        <w:rPr>
          <w:b/>
          <w:bCs/>
        </w:rPr>
        <w:t xml:space="preserve"> </w:t>
      </w:r>
      <w:r>
        <w:rPr>
          <w:b/>
          <w:bCs/>
        </w:rPr>
        <w:t xml:space="preserve">covariation in asthma is attributable to shared eosinophil abundance, and the residual within-tissue component is indistinguishable from zero under both estimators.</w:t>
      </w:r>
      <w:r>
        <w:t xml:space="preserve"> </w:t>
      </w:r>
      <w:r>
        <w:t xml:space="preserve">We note one methodological caveat that is itself instructive for the field: xCell’s default spillover-compensation step drove the</w:t>
      </w:r>
      <w:r>
        <w:t xml:space="preserve"> </w:t>
      </w:r>
      <w:r>
        <w:rPr>
          <w:i/>
          <w:iCs/>
        </w:rPr>
        <w:t xml:space="preserve">compensated</w:t>
      </w:r>
      <w:r>
        <w:t xml:space="preserve"> </w:t>
      </w:r>
      <w:r>
        <w:t xml:space="preserve">eosinophil score to its floor in the epithelial cohorts (41 % of asthma samples set exactly to zero, near-zero variance), which mechanically removes any signal to condition on; the</w:t>
      </w:r>
      <w:r>
        <w:t xml:space="preserve"> </w:t>
      </w:r>
      <w:r>
        <w:rPr>
          <w:i/>
          <w:iCs/>
        </w:rPr>
        <w:t xml:space="preserve">raw</w:t>
      </w:r>
      <w:r>
        <w:t xml:space="preserve"> </w:t>
      </w:r>
      <w:r>
        <w:t xml:space="preserve">ssGSEA enrichment, which retains a biologically plausible distribution (0 % zeros, median enrichment ≈ 490), is the appropriate estimate for a rare, spillover-prone cell type in epithelial tissue (Fig. 6D). Generic deconvolution applied without this check would have produced a spuriously null adjustment — a cautionary point for the broad practice of conditioning bulk analyses on off-the-shelf cell-type estimates.</w:t>
      </w:r>
    </w:p>
    <w:p>
      <w:pPr>
        <w:pStyle w:val="BodyText"/>
      </w:pPr>
      <w:r>
        <w:t xml:space="preserve">The exploratory decompositions in the smaller cohorts were underpowered and mixed in direction (AD ACME +0.054,</w:t>
      </w:r>
      <w:r>
        <w:t xml:space="preserve"> </w:t>
      </w:r>
      <w:r>
        <w:rPr>
          <w:i/>
          <w:iCs/>
        </w:rPr>
        <w:t xml:space="preserve">p</w:t>
      </w:r>
      <w:r>
        <w:t xml:space="preserve"> </w:t>
      </w:r>
      <w:r>
        <w:t xml:space="preserve">= 0.15; CRSwNP ACME −0.028,</w:t>
      </w:r>
      <w:r>
        <w:t xml:space="preserve"> </w:t>
      </w:r>
      <w:r>
        <w:rPr>
          <w:i/>
          <w:iCs/>
        </w:rPr>
        <w:t xml:space="preserve">p</w:t>
      </w:r>
      <w:r>
        <w:t xml:space="preserve"> </w:t>
      </w:r>
      <w:r>
        <w:t xml:space="preserve">= 0.13; EoE skipped at</w:t>
      </w:r>
      <w:r>
        <w:t xml:space="preserve"> </w:t>
      </w:r>
      <w:r>
        <w:rPr>
          <w:i/>
          <w:iCs/>
        </w:rPr>
        <w:t xml:space="preserve">n</w:t>
      </w:r>
      <w:r>
        <w:t xml:space="preserve"> </w:t>
      </w:r>
      <w:r>
        <w:t xml:space="preserve">&lt; 20 threshold), so the quantitative decomposition rests on the asthma cohort alone. We therefore restrict the quantitative attribution claim to asthma and treat the remaining diseases as underpowered context — their raw</w:t>
      </w:r>
      <w:r>
        <w:t xml:space="preserve"> </w:t>
      </w:r>
      <w:r>
        <w:rPr>
          <w:i/>
          <w:iCs/>
        </w:rPr>
        <w:t xml:space="preserve">IDI2-AS1</w:t>
      </w:r>
      <w:r>
        <w:t xml:space="preserve">–</w:t>
      </w:r>
      <w:r>
        <w:rPr>
          <w:i/>
          <w:iCs/>
        </w:rPr>
        <w:t xml:space="preserve">IL5</w:t>
      </w:r>
      <w:r>
        <w:t xml:space="preserve"> </w:t>
      </w:r>
      <w:r>
        <w:t xml:space="preserve">correlations are positive, but their adjusted and decomposition estimates are not uniformly directionally consistent — rather than as independent confirmation.</w:t>
      </w:r>
    </w:p>
    <w:bookmarkEnd w:id="21"/>
    <w:bookmarkStart w:id="22" w:name="X2acb600933906f719eb8ba7bf2d985730c2d702"/>
    <w:p>
      <w:pPr>
        <w:pStyle w:val="Heading3"/>
      </w:pPr>
      <w:r>
        <w:t xml:space="preserve">Pipeline output: integration of Steps 1–3 into a single coherent reading</w:t>
      </w:r>
    </w:p>
    <w:p>
      <w:pPr>
        <w:pStyle w:val="FirstParagraph"/>
      </w:pPr>
      <w:r>
        <w:t xml:space="preserve">Combining the three outputs yields a single, internally consistent reading of the</w:t>
      </w:r>
      <w:r>
        <w:t xml:space="preserve"> </w:t>
      </w:r>
      <w:r>
        <w:rPr>
          <w:i/>
          <w:iCs/>
        </w:rPr>
        <w:t xml:space="preserve">IDI2-AS1</w:t>
      </w:r>
      <w:r>
        <w:t xml:space="preserve"> </w:t>
      </w:r>
      <w:r>
        <w:t xml:space="preserve">/</w:t>
      </w:r>
      <w:r>
        <w:t xml:space="preserve"> </w:t>
      </w:r>
      <w:r>
        <w:rPr>
          <w:i/>
          <w:iCs/>
        </w:rPr>
        <w:t xml:space="preserve">IL5</w:t>
      </w:r>
      <w:r>
        <w:t xml:space="preserve"> </w:t>
      </w:r>
      <w:r>
        <w:t xml:space="preserve">relationship in patient tissue that no single stage could supply. Step 1 produces a converging bulk-DE null; Step 2 produces a positively signed bulk correlation that inverts the cell-line direction; Step 3 attributes the majority (≈ 70–90 % in asthma, depending on the abundance estimator) of the bulk-level covariation to the eosinophil compartment with no detectable within-tissue residual. The synthesis is that the bulk readout is most parsimoniously interpreted as compositional masking — a hypothesis, since no per-cell signal was directly measured here: under it, any per-cell</w:t>
      </w:r>
      <w:r>
        <w:t xml:space="preserve"> </w:t>
      </w:r>
      <w:r>
        <w:rPr>
          <w:i/>
          <w:iCs/>
        </w:rPr>
        <w:t xml:space="preserve">IDI2-AS1</w:t>
      </w:r>
      <w:r>
        <w:t xml:space="preserve"> </w:t>
      </w:r>
      <w:r>
        <w:t xml:space="preserve">signal would be diluted across thousands of bystander cells in which neither it nor</w:t>
      </w:r>
      <w:r>
        <w:t xml:space="preserve"> </w:t>
      </w:r>
      <w:r>
        <w:rPr>
          <w:i/>
          <w:iCs/>
        </w:rPr>
        <w:t xml:space="preserve">IL5</w:t>
      </w:r>
      <w:r>
        <w:t xml:space="preserve"> </w:t>
      </w:r>
      <w:r>
        <w:t xml:space="preserve">is meaningfully expressed, while the small effector compartment that does co-express both transcripts simultaneously expands in active disease, which would be expected to generate the apparent positive sample-level correlation. This is the reading the pipeline produces from the three operations, without requiring the analyst to pre-commit to either a</w:t>
      </w:r>
      <w:r>
        <w:t xml:space="preserve"> </w:t>
      </w:r>
      <w:r>
        <w:t xml:space="preserve">“no in vivo effect”</w:t>
      </w:r>
      <w:r>
        <w:t xml:space="preserve"> </w:t>
      </w:r>
      <w:r>
        <w:t xml:space="preserve">or</w:t>
      </w:r>
      <w:r>
        <w:t xml:space="preserve"> </w:t>
      </w:r>
      <w:r>
        <w:t xml:space="preserve">“in vitro effect generalises to tissue”</w:t>
      </w:r>
      <w:r>
        <w:t xml:space="preserve"> </w:t>
      </w:r>
      <w:r>
        <w:t xml:space="preserve">interpretation. It remains an interpretation generated by the pipeline rather than an independently validated mechanism: the per-cell hypothesis it produces is the appropriate input to a future single-cell or in vivo test, not a substitute for one.</w:t>
      </w:r>
    </w:p>
    <w:bookmarkEnd w:id="22"/>
    <w:bookmarkStart w:id="23" w:name="Xf97c180a2c7cea7984f3fb42f65392bd23a502f"/>
    <w:p>
      <w:pPr>
        <w:pStyle w:val="Heading3"/>
      </w:pPr>
      <w:r>
        <w:t xml:space="preserve">Specificity check: comparator lncRNAs respond to disease whereas</w:t>
      </w:r>
      <w:r>
        <w:t xml:space="preserve"> </w:t>
      </w:r>
      <w:r>
        <w:rPr>
          <w:i/>
          <w:iCs/>
        </w:rPr>
        <w:t xml:space="preserve">IDI2-AS1</w:t>
      </w:r>
      <w:r>
        <w:t xml:space="preserve"> </w:t>
      </w:r>
      <w:r>
        <w:t xml:space="preserve">does not</w:t>
      </w:r>
    </w:p>
    <w:p>
      <w:pPr>
        <w:pStyle w:val="FirstParagraph"/>
      </w:pPr>
      <w:r>
        <w:t xml:space="preserve">As a positive control,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 in the three symbol-keyed datasets in which they were quantified (Fig. 5A). Each showed clear disease-specific differential expression:</w:t>
      </w:r>
      <w:r>
        <w:t xml:space="preserve"> </w:t>
      </w:r>
      <w:r>
        <w:rPr>
          <w:i/>
          <w:iCs/>
        </w:rPr>
        <w:t xml:space="preserve">MIR22HG</w:t>
      </w:r>
      <w:r>
        <w:t xml:space="preserve"> </w:t>
      </w:r>
      <w:r>
        <w:t xml:space="preserve">strongly upregulated in AD skin (log</w:t>
      </w:r>
      <w:r>
        <w:rPr>
          <w:vertAlign w:val="subscript"/>
        </w:rPr>
        <w:t xml:space="preserve">2</w:t>
      </w:r>
      <w:r>
        <w:t xml:space="preserve">FC = +0.82,</w:t>
      </w:r>
      <w:r>
        <w:t xml:space="preserve"> </w:t>
      </w:r>
      <w:r>
        <w:rPr>
          <w:i/>
          <w:iCs/>
        </w:rPr>
        <w:t xml:space="preserve">p</w:t>
      </w:r>
      <w:r>
        <w:rPr>
          <w:vertAlign w:val="subscript"/>
        </w:rPr>
        <w:t xml:space="preserve">adj</w:t>
      </w:r>
      <w:r>
        <w:t xml:space="preserve"> </w:t>
      </w:r>
      <w:r>
        <w:t xml:space="preserve">= 1 × 10</w:t>
      </w:r>
      <w:r>
        <w:rPr>
          <w:vertAlign w:val="superscript"/>
        </w:rPr>
        <w:t xml:space="preserve">−16</w:t>
      </w:r>
      <w:r>
        <w:t xml:space="preserve">) and EoE-Sherrill;</w:t>
      </w:r>
      <w:r>
        <w:t xml:space="preserve"> </w:t>
      </w:r>
      <w:r>
        <w:rPr>
          <w:i/>
          <w:iCs/>
        </w:rPr>
        <w:t xml:space="preserve">GABPB1-AS1</w:t>
      </w:r>
      <w:r>
        <w:t xml:space="preserve"> </w:t>
      </w:r>
      <w:r>
        <w:t xml:space="preserve">significantly downregulated in AD (log</w:t>
      </w:r>
      <w:r>
        <w:rPr>
          <w:vertAlign w:val="subscript"/>
        </w:rPr>
        <w:t xml:space="preserve">2</w:t>
      </w:r>
      <w:r>
        <w:t xml:space="preserve">FC = −0.50,</w:t>
      </w:r>
      <w:r>
        <w:t xml:space="preserve"> </w:t>
      </w:r>
      <w:r>
        <w:rPr>
          <w:i/>
          <w:iCs/>
        </w:rPr>
        <w:t xml:space="preserve">p</w:t>
      </w:r>
      <w:r>
        <w:rPr>
          <w:vertAlign w:val="subscript"/>
        </w:rPr>
        <w:t xml:space="preserve">adj</w:t>
      </w:r>
      <w:r>
        <w:t xml:space="preserve"> </w:t>
      </w:r>
      <w:r>
        <w:t xml:space="preserve">= 5 × 10</w:t>
      </w:r>
      <w:r>
        <w:rPr>
          <w:vertAlign w:val="superscript"/>
        </w:rPr>
        <w:t xml:space="preserve">−3</w:t>
      </w:r>
      <w:r>
        <w:t xml:space="preserve">);</w:t>
      </w:r>
      <w:r>
        <w:t xml:space="preserve"> </w:t>
      </w:r>
      <w:r>
        <w:rPr>
          <w:i/>
          <w:iCs/>
        </w:rPr>
        <w:t xml:space="preserve">OIP5-AS1</w:t>
      </w:r>
      <w:r>
        <w:t xml:space="preserve"> </w:t>
      </w:r>
      <w:r>
        <w:t xml:space="preserve">modestly downregulated in AD (log</w:t>
      </w:r>
      <w:r>
        <w:rPr>
          <w:vertAlign w:val="subscript"/>
        </w:rPr>
        <w:t xml:space="preserve">2</w:t>
      </w:r>
      <w:r>
        <w:t xml:space="preserve">FC = −0.19,</w:t>
      </w:r>
      <w:r>
        <w:t xml:space="preserve"> </w:t>
      </w:r>
      <w:r>
        <w:rPr>
          <w:i/>
          <w:iCs/>
        </w:rPr>
        <w:t xml:space="preserve">p</w:t>
      </w:r>
      <w:r>
        <w:rPr>
          <w:vertAlign w:val="subscript"/>
        </w:rPr>
        <w:t xml:space="preserve">adj</w:t>
      </w:r>
      <w:r>
        <w:t xml:space="preserve"> </w:t>
      </w:r>
      <w:r>
        <w:t xml:space="preserve">= 8 × 10</w:t>
      </w:r>
      <w:r>
        <w:rPr>
          <w:vertAlign w:val="superscript"/>
        </w:rPr>
        <w:t xml:space="preserve">−3</w:t>
      </w:r>
      <w:r>
        <w:t xml:space="preserve">). Pooled meta-analysis confirmed nontrivial cross-disease signal for the comparators (</w:t>
      </w:r>
      <w:r>
        <w:rPr>
          <w:i/>
          <w:iCs/>
        </w:rPr>
        <w:t xml:space="preserve">MIR22HG</w:t>
      </w:r>
      <w:r>
        <w:t xml:space="preserve"> </w:t>
      </w:r>
      <w:r>
        <w:t xml:space="preserve">pooled log</w:t>
      </w:r>
      <w:r>
        <w:rPr>
          <w:vertAlign w:val="subscript"/>
        </w:rPr>
        <w:t xml:space="preserve">2</w:t>
      </w:r>
      <w:r>
        <w:t xml:space="preserve">FC = +0.46;</w:t>
      </w:r>
      <w:r>
        <w:t xml:space="preserve"> </w:t>
      </w:r>
      <w:r>
        <w:rPr>
          <w:i/>
          <w:iCs/>
        </w:rPr>
        <w:t xml:space="preserve">GABPB1-AS1</w:t>
      </w:r>
      <w:r>
        <w:t xml:space="preserve"> </w:t>
      </w:r>
      <w:r>
        <w:t xml:space="preserve">= −0.10;</w:t>
      </w:r>
      <w:r>
        <w:t xml:space="preserve"> </w:t>
      </w:r>
      <w:r>
        <w:rPr>
          <w:i/>
          <w:iCs/>
        </w:rPr>
        <w:t xml:space="preserve">OIP5-AS1</w:t>
      </w:r>
      <w:r>
        <w:t xml:space="preserve"> </w:t>
      </w:r>
      <w:r>
        <w:t xml:space="preserve">= −0.03). Against this background,</w:t>
      </w:r>
      <w:r>
        <w:t xml:space="preserve"> </w:t>
      </w:r>
      <w:r>
        <w:rPr>
          <w:i/>
          <w:iCs/>
        </w:rPr>
        <w:t xml:space="preserve">IDI2-AS1</w:t>
      </w:r>
      <w:r>
        <w:t xml:space="preserve"> </w:t>
      </w:r>
      <w:r>
        <w:t xml:space="preserve">returned the lowest pooled effect size (+5.1 × 10</w:t>
      </w:r>
      <w:r>
        <w:rPr>
          <w:vertAlign w:val="superscript"/>
        </w:rPr>
        <w:t xml:space="preserve">−5</w:t>
      </w:r>
      <w:r>
        <w:t xml:space="preserve">) and, uniquely, near-zero between-study heterogeneity (</w:t>
      </w:r>
      <w:r>
        <w:rPr>
          <w:i/>
          <w:iCs/>
        </w:rPr>
        <w:t xml:space="preserve">I</w:t>
      </w:r>
      <w:r>
        <w:rPr>
          <w:vertAlign w:val="superscript"/>
        </w:rPr>
        <w:t xml:space="preserve">2</w:t>
      </w:r>
      <w:r>
        <w:t xml:space="preserve"> </w:t>
      </w:r>
      <w:r>
        <w:t xml:space="preserve">= 0.26 %). We caution that the comparator panel and</w:t>
      </w:r>
      <w:r>
        <w:t xml:space="preserve"> </w:t>
      </w:r>
      <w:r>
        <w:rPr>
          <w:i/>
          <w:iCs/>
        </w:rPr>
        <w:t xml:space="preserve">IDI2-AS1</w:t>
      </w:r>
      <w:r>
        <w:t xml:space="preserve"> </w:t>
      </w:r>
      <w:r>
        <w:t xml:space="preserve">are pooled from different numbers of contributing cohorts (the comparators were quantified in three symbol-keyed datasets,</w:t>
      </w:r>
      <w:r>
        <w:t xml:space="preserve"> </w:t>
      </w:r>
      <w:r>
        <w:rPr>
          <w:i/>
          <w:iCs/>
        </w:rPr>
        <w:t xml:space="preserve">IDI2-AS1</w:t>
      </w:r>
      <w:r>
        <w:t xml:space="preserve"> </w:t>
      </w:r>
      <w:r>
        <w:t xml:space="preserve">in all five; Table 2), so the contrast in pooled estimates should be read as descriptive rather than as a formally matched comparison. With that caveat, the flatness of</w:t>
      </w:r>
      <w:r>
        <w:t xml:space="preserve"> </w:t>
      </w:r>
      <w:r>
        <w:rPr>
          <w:i/>
          <w:iCs/>
        </w:rPr>
        <w:t xml:space="preserve">IDI2-AS1</w:t>
      </w:r>
      <w:r>
        <w:t xml:space="preserve"> </w:t>
      </w:r>
      <w:r>
        <w:t xml:space="preserve">at the bulk-tissue level appears to be a property of this lncRNA specifically rather than a generic feature of low-abundance lncRNAs in allergic tissue.</w:t>
      </w:r>
    </w:p>
    <w:bookmarkEnd w:id="23"/>
    <w:bookmarkStart w:id="24" w:name="X9bc3ec549aaabfeb4131c8982cb79f7e98b5160"/>
    <w:p>
      <w:pPr>
        <w:pStyle w:val="Heading3"/>
      </w:pPr>
      <w:r>
        <w:t xml:space="preserve">Specificity check: the type-2 cytokine network is appropriately disease-stratified</w:t>
      </w:r>
    </w:p>
    <w:p>
      <w:pPr>
        <w:pStyle w:val="FirstParagraph"/>
      </w:pPr>
      <w:r>
        <w:t xml:space="preserve">A complementary specificity check confirmed the analysis captures known disease biology in the expected pattern (Fig. 5B).</w:t>
      </w:r>
      <w:r>
        <w:t xml:space="preserve"> </w:t>
      </w:r>
      <w:r>
        <w:rPr>
          <w:i/>
          <w:iCs/>
        </w:rPr>
        <w:t xml:space="preserve">IL13</w:t>
      </w:r>
      <w:r>
        <w:t xml:space="preserve"> </w:t>
      </w:r>
      <w:r>
        <w:t xml:space="preserve">was the strongest disease-discriminating cytokine in AD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elevated in EoE;</w:t>
      </w:r>
      <w:r>
        <w:t xml:space="preserve"> </w:t>
      </w:r>
      <w:r>
        <w:rPr>
          <w:i/>
          <w:iCs/>
        </w:rPr>
        <w:t xml:space="preserve">IL5</w:t>
      </w:r>
      <w:r>
        <w:t xml:space="preserve"> </w:t>
      </w:r>
      <w:r>
        <w:t xml:space="preserve">was significantly elevated in asthma and EoE-Sherrill;</w:t>
      </w:r>
      <w:r>
        <w:t xml:space="preserve"> </w:t>
      </w:r>
      <w:r>
        <w:rPr>
          <w:i/>
          <w:iCs/>
        </w:rPr>
        <w:t xml:space="preserve">IL6</w:t>
      </w:r>
      <w:r>
        <w:t xml:space="preserve"> </w:t>
      </w:r>
      <w:r>
        <w:t xml:space="preserve">and</w:t>
      </w:r>
      <w:r>
        <w:t xml:space="preserve"> </w:t>
      </w:r>
      <w:r>
        <w:rPr>
          <w:i/>
          <w:iCs/>
        </w:rPr>
        <w:t xml:space="preserve">TNF</w:t>
      </w:r>
      <w:r>
        <w:t xml:space="preserve"> </w:t>
      </w:r>
      <w:r>
        <w:t xml:space="preserve">strongly elevated in AD only;</w:t>
      </w:r>
      <w:r>
        <w:t xml:space="preserve"> </w:t>
      </w:r>
      <w:r>
        <w:rPr>
          <w:i/>
          <w:iCs/>
        </w:rPr>
        <w:t xml:space="preserve">IFNG</w:t>
      </w:r>
      <w:r>
        <w:t xml:space="preserve"> </w:t>
      </w:r>
      <w:r>
        <w:t xml:space="preserve">downregulated in asthmatic nasal epithelium but upregulated in AD skin, reflecting the known difference in IFN-γ involvement between airway and cutaneous type-2 inflammation. The cytokine panel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argue against a gross pipeline failure as the explanation for the near-null bulk-tissue</w:t>
      </w:r>
      <w:r>
        <w:t xml:space="preserve"> </w:t>
      </w:r>
      <w:r>
        <w:rPr>
          <w:i/>
          <w:iCs/>
        </w:rPr>
        <w:t xml:space="preserve">IDI2-AS1</w:t>
      </w:r>
      <w:r>
        <w:t xml:space="preserve"> </w:t>
      </w:r>
      <w:r>
        <w:t xml:space="preserve">signal; they do not, however, exclude lncRNA-specific detection limitations in these heterogeneous public datasets, which remain a possibility we cannot fully rule out.</w:t>
      </w:r>
    </w:p>
    <w:bookmarkEnd w:id="24"/>
    <w:bookmarkEnd w:id="25"/>
    <w:bookmarkStart w:id="33" w:name="discussion"/>
    <w:p>
      <w:pPr>
        <w:pStyle w:val="Heading2"/>
      </w:pPr>
      <w:r>
        <w:t xml:space="preserve">Discussion</w:t>
      </w:r>
    </w:p>
    <w:bookmarkStart w:id="26" w:name="Xcbe11c025960f9361187e4fb40b52c8e644f88e"/>
    <w:p>
      <w:pPr>
        <w:pStyle w:val="Heading3"/>
      </w:pPr>
      <w:r>
        <w:t xml:space="preserve">The interpretive problem solved by cell-composition-aware re-analysis</w:t>
      </w:r>
    </w:p>
    <w:p>
      <w:pPr>
        <w:pStyle w:val="FirstParagraph"/>
      </w:pPr>
      <w:r>
        <w:t xml:space="preserve">The principal contribution of this work is methodological. Standard bulk-tissue RNA-seq interpretation rests on two operations — a differential-expression catalog comparing patients with controls, and sample-level correlation of a candidate transcript with its putative target — both of which conflate two quantities that change in disease for independent reasons: the per-cell expression of the regulator inside its effector subset, and the abundance of that subset within the biopsy. For protein-coding regulators whose function is broadly distributed across tissue cell types, this is adequate. For lncRNAs — characteristically lower in abundance, often short-lived, and frequently cell-type-restricted</w:t>
      </w:r>
      <w:r>
        <w:t xml:space="preserve"> </w:t>
      </w:r>
      <w:r>
        <w:t xml:space="preserve">[</w:t>
      </w:r>
      <w:hyperlink w:anchor="ref-Mattick2023_lncRNAreview">
        <w:r>
          <w:rPr>
            <w:rStyle w:val="Hyperlink"/>
          </w:rPr>
          <w:t xml:space="preserve">1</w:t>
        </w:r>
      </w:hyperlink>
      <w:r>
        <w:t xml:space="preserve">–</w:t>
      </w:r>
      <w:hyperlink w:anchor="ref-Cabili2011_lincRNAs">
        <w:r>
          <w:rPr>
            <w:rStyle w:val="Hyperlink"/>
          </w:rPr>
          <w:t xml:space="preserve">4</w:t>
        </w:r>
      </w:hyperlink>
      <w:r>
        <w:t xml:space="preserve">]</w:t>
      </w:r>
      <w:r>
        <w:t xml:space="preserve"> </w:t>
      </w:r>
      <w:r>
        <w:t xml:space="preserve">— the same workflow systematically masks per-cell regulation behind compositional shift. The cell-composition-adjusted pipeline introduced here statistically estimates the composition-associated and residual components of the bulk signal using bulk transcriptomes alone, through four steps that can be applied to any candidate lncRNA-target pair against any sufficiently powered public bulk cohort. All code and intermediate inputs (including CIBERSORTx-formatted matrices) are released openly. The framework is deliberately scoped to information recoverable from bulk RNA-seq, so that clinically annotated bulk transcriptomic data already in the public domain can be re-interrogated without requiring single-cell or spatial re-sampling. We do not claim novelty for the individual statistical components — partial correlation, signature- and ssGSEA-based deconvolution, random-effects meta-analysis, and effect decomposition are all established tools. The contribution is their assembly into a specific, reusable interpretive discipline for the recurring problem of low-abundance, cell-type-restricted lncRNA candidates whose per-cell regulation and compartment abundance move in opposite directions in disease, together with the explicit cross-method robustness check (marker score versus independent deconvolution) that exposed the spillover-compensation pitfall. The pipeline’s behaviour on ground-truth-positive features in the same cohorts provides an internal benchmark: the type-2 cytokines (e.g. </w:t>
      </w:r>
      <w:r>
        <w:rPr>
          <w:i/>
          <w:iCs/>
        </w:rPr>
        <w:t xml:space="preserve">IL13</w:t>
      </w:r>
      <w:r>
        <w:t xml:space="preserve"> </w:t>
      </w:r>
      <w:r>
        <w:t xml:space="preserve">in atopic dermatitis,</w:t>
      </w:r>
      <w:r>
        <w:t xml:space="preserve"> </w:t>
      </w:r>
      <w:r>
        <w:rPr>
          <w:i/>
          <w:iCs/>
        </w:rPr>
        <w:t xml:space="preserve">IL5</w:t>
      </w:r>
      <w:r>
        <w:t xml:space="preserve"> </w:t>
      </w:r>
      <w:r>
        <w:t xml:space="preserve">in asthma) and the comparator lncRNAs are recovered with the expected, disease-appropriate effects (Fig. 5), supporting that the near-null</w:t>
      </w:r>
      <w:r>
        <w:t xml:space="preserve"> </w:t>
      </w:r>
      <w:r>
        <w:rPr>
          <w:i/>
          <w:iCs/>
        </w:rPr>
        <w:t xml:space="preserve">IDI2-AS1</w:t>
      </w:r>
      <w:r>
        <w:t xml:space="preserve"> </w:t>
      </w:r>
      <w:r>
        <w:t xml:space="preserve">readout reflects a property of that transcript rather than a gross insensitivity of the pipeline.</w:t>
      </w:r>
    </w:p>
    <w:bookmarkEnd w:id="26"/>
    <w:bookmarkStart w:id="27" w:name="Xd624367310b01701551ca2117450d1c12140c78"/>
    <w:p>
      <w:pPr>
        <w:pStyle w:val="Heading3"/>
      </w:pPr>
      <w:r>
        <w:t xml:space="preserve">Pipeline behaviour in the IDI2-AS1 worked example</w:t>
      </w:r>
    </w:p>
    <w:p>
      <w:pPr>
        <w:pStyle w:val="FirstParagraph"/>
      </w:pPr>
      <w:r>
        <w:t xml:space="preserve">The most informative property of the pipeline when applied to</w:t>
      </w:r>
      <w:r>
        <w:t xml:space="preserve"> </w:t>
      </w:r>
      <w:r>
        <w:rPr>
          <w:i/>
          <w:iCs/>
        </w:rPr>
        <w:t xml:space="preserve">IDI2-AS1</w:t>
      </w:r>
      <w:r>
        <w:t xml:space="preserve"> </w:t>
      </w:r>
      <w:r>
        <w:t xml:space="preserve">across five cohorts (combined</w:t>
      </w:r>
      <w:r>
        <w:t xml:space="preserve"> </w:t>
      </w:r>
      <w:r>
        <w:rPr>
          <w:i/>
          <w:iCs/>
        </w:rPr>
        <w:t xml:space="preserve">n</w:t>
      </w:r>
      <w:r>
        <w:t xml:space="preserve"> </w:t>
      </w:r>
      <w:r>
        <w:t xml:space="preserve">= 856) is the</w:t>
      </w:r>
      <w:r>
        <w:t xml:space="preserve"> </w:t>
      </w:r>
      <w:r>
        <w:rPr>
          <w:i/>
          <w:iCs/>
        </w:rPr>
        <w:t xml:space="preserve">combination</w:t>
      </w:r>
      <w:r>
        <w:t xml:space="preserve"> </w:t>
      </w:r>
      <w:r>
        <w:t xml:space="preserve">of three outputs that, taken individually, would point in opposite biological directions. Step 1 returns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0 %) — the kind of result a standard catalog would file as evidence against in vivo relevance. Step 2 returns a</w:t>
      </w:r>
      <w:r>
        <w:t xml:space="preserve"> </w:t>
      </w:r>
      <w:r>
        <w:rPr>
          <w:i/>
          <w:iCs/>
        </w:rPr>
        <w:t xml:space="preserve">positive</w:t>
      </w:r>
      <w:r>
        <w:t xml:space="preserve"> </w:t>
      </w:r>
      <w:r>
        <w:t xml:space="preserve">sample-level</w:t>
      </w:r>
      <w:r>
        <w:t xml:space="preserve"> </w:t>
      </w:r>
      <w:r>
        <w:rPr>
          <w:i/>
          <w:iCs/>
        </w:rPr>
        <w:t xml:space="preserve">IDI2-AS1</w:t>
      </w:r>
      <w:r>
        <w:t xml:space="preserve">–</w:t>
      </w:r>
      <w:r>
        <w:rPr>
          <w:i/>
          <w:iCs/>
        </w:rPr>
        <w:t xml:space="preserve">IL5</w:t>
      </w:r>
      <w:r>
        <w:t xml:space="preserve"> </w:t>
      </w:r>
      <w:r>
        <w:t xml:space="preserve">correlation in every cohort that supports the test, significant in asthma — opposite in sign to the in vitro repressive mechanism</w:t>
      </w:r>
      <w:r>
        <w:t xml:space="preserve"> </w:t>
      </w:r>
      <w:r>
        <w:t xml:space="preserve">[</w:t>
      </w:r>
      <w:hyperlink w:anchor="ref-Endo2025_IDI2AS1">
        <w:r>
          <w:rPr>
            <w:rStyle w:val="Hyperlink"/>
          </w:rPr>
          <w:t xml:space="preserve">5</w:t>
        </w:r>
      </w:hyperlink>
      <w:r>
        <w:t xml:space="preserve">]</w:t>
      </w:r>
      <w:r>
        <w:t xml:space="preserve">. Step 3 reconciles the two: when eosinophil abundance is held constant in the largest cohort, the majority of the apparent association is statistically attributable to shared eosinophil abundance — ≈ 90 % under the marker signature and ≈ 70 % under an independent transcriptome-wide deconvolution (xCell), both significant (</w:t>
      </w:r>
      <w:r>
        <w:rPr>
          <w:i/>
          <w:iCs/>
        </w:rPr>
        <w:t xml:space="preserve">p</w:t>
      </w:r>
      <w:r>
        <w:t xml:space="preserve"> </w:t>
      </w:r>
      <w:r>
        <w:t xml:space="preserve">≤ 0.006) — with no detectable within-tissue residual (residual component +0.012,</w:t>
      </w:r>
      <w:r>
        <w:t xml:space="preserve"> </w:t>
      </w:r>
      <w:r>
        <w:rPr>
          <w:i/>
          <w:iCs/>
        </w:rPr>
        <w:t xml:space="preserve">p</w:t>
      </w:r>
      <w:r>
        <w:t xml:space="preserve"> </w:t>
      </w:r>
      <w:r>
        <w:t xml:space="preserve">= 0.76 under the marker estimator and +0.037,</w:t>
      </w:r>
      <w:r>
        <w:t xml:space="preserve"> </w:t>
      </w:r>
      <w:r>
        <w:rPr>
          <w:i/>
          <w:iCs/>
        </w:rPr>
        <w:t xml:space="preserve">p</w:t>
      </w:r>
      <w:r>
        <w:t xml:space="preserve"> </w:t>
      </w:r>
      <w:r>
        <w:t xml:space="preserve">= 0.57 under xCell). That the two abundance estimators agree (Spearman ρ = 0.62) and yield the same qualitative conclusion is the central robustness check: the result is not an artifact of the marker-score proxy. Read together, these outputs refine rather than refute the in vitro mechanism: the converging bulk null is what one would expect for a low-abundance, cell-type-restricted regulator whose per-cell signal is diluted across a predominantly bystander biopsy, and the directionally inverted bulk correlation is what one would expect when biopsies vary in the abundance of the cells co-expressing the regulator and its target. The strongest evidence comes from the asthma cohort (</w:t>
      </w:r>
      <w:r>
        <w:rPr>
          <w:i/>
          <w:iCs/>
        </w:rPr>
        <w:t xml:space="preserve">n</w:t>
      </w:r>
      <w:r>
        <w:t xml:space="preserve"> </w:t>
      </w:r>
      <w:r>
        <w:t xml:space="preserve">= 695); the smaller cohorts are underpowered and mixed (positive raw correlations, but their exploratory adjusted and decomposition estimates are not uniformly in the same direction — for example the CRSwNP marker decomposition is slightly negative), and so provide qualitative context rather than confirmation. The pipeline performed its intended interpretive function — converting a pair of bulk outputs that would be filed in opposite directions by standard analysis into a single, mutually consistent reading.</w:t>
      </w:r>
    </w:p>
    <w:bookmarkEnd w:id="27"/>
    <w:bookmarkStart w:id="28" w:name="X28fdd684d4419d241a24b7608938ff28ecc025c"/>
    <w:p>
      <w:pPr>
        <w:pStyle w:val="Heading3"/>
      </w:pPr>
      <w:r>
        <w:t xml:space="preserve">Why bulk RNA-seq is structurally blind to IDI2-AS1</w:t>
      </w:r>
    </w:p>
    <w:p>
      <w:pPr>
        <w:pStyle w:val="FirstParagraph"/>
      </w:pPr>
      <w:r>
        <w:t xml:space="preserve">For a regulator whose function is restricted to a small effector subset — here, presumably Th2 lymphocytes, type-2 innate lymphoid cells, mast cells, and eosinophils — per-cell</w:t>
      </w:r>
      <w:r>
        <w:t xml:space="preserve"> </w:t>
      </w:r>
      <w:r>
        <w:rPr>
          <w:i/>
          <w:iCs/>
        </w:rPr>
        <w:t xml:space="preserve">IDI2-AS1</w:t>
      </w:r>
      <w:r>
        <w:t xml:space="preserve"> </w:t>
      </w:r>
      <w:r>
        <w:t xml:space="preserve">would be expected to fall in active disease (consistent with the cell-line knock-down →</w:t>
      </w:r>
      <w:r>
        <w:t xml:space="preserve"> </w:t>
      </w:r>
      <w:r>
        <w:rPr>
          <w:i/>
          <w:iCs/>
        </w:rPr>
        <w:t xml:space="preserve">IL5</w:t>
      </w:r>
      <w:r>
        <w:t xml:space="preserve"> </w:t>
      </w:r>
      <w:r>
        <w:t xml:space="preserve">↑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The pipeline’s cell-type-adjusted analysis dissects these contributions explicitly. One plausible interpretation is that the bulk signal is dominated by composition shifts and any within-effector regulatory direction is masked, rather than contradicted, by the bulk readout — consistent with the absence of</w:t>
      </w:r>
      <w:r>
        <w:t xml:space="preserve"> </w:t>
      </w:r>
      <w:r>
        <w:rPr>
          <w:i/>
          <w:iCs/>
        </w:rPr>
        <w:t xml:space="preserve">IDI2-AS1</w:t>
      </w:r>
      <w:r>
        <w:t xml:space="preserve"> </w:t>
      </w:r>
      <w:r>
        <w:t xml:space="preserve">from previously published differential-expression catalogs of these diseases. Alternative explanations — including the possibility that the in vitro effect does not generalise from the cell-line context — cannot be excluded by the present data; the parsimonious reading is that the in vitro mechanism remains compatible with the adjusted bulk-tissue pattern, but it is not adjudicated by these data and requires cell-resolved testing.</w:t>
      </w:r>
    </w:p>
    <w:bookmarkEnd w:id="28"/>
    <w:bookmarkStart w:id="29" w:name="X9fd4f30f39a6bde42be56d1bc49cc7eaac5cc0b"/>
    <w:p>
      <w:pPr>
        <w:pStyle w:val="Heading3"/>
      </w:pPr>
      <w:r>
        <w:t xml:space="preserve">Generalisation to other lncRNA candidates</w:t>
      </w:r>
    </w:p>
    <w:p>
      <w:pPr>
        <w:pStyle w:val="FirstParagraph"/>
      </w:pPr>
      <w:r>
        <w:t xml:space="preserve">The case made here for</w:t>
      </w:r>
      <w:r>
        <w:t xml:space="preserve"> </w:t>
      </w:r>
      <w:r>
        <w:rPr>
          <w:i/>
          <w:iCs/>
        </w:rPr>
        <w:t xml:space="preserve">IDI2-AS1</w:t>
      </w:r>
      <w:r>
        <w:t xml:space="preserve"> </w:t>
      </w:r>
      <w:r>
        <w:t xml:space="preserve">generalises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1</w:t>
        </w:r>
      </w:hyperlink>
      <w:r>
        <w:t xml:space="preserve">]</w:t>
      </w:r>
      <w:r>
        <w:t xml:space="preserve">, so the per-cell signal of an authentic regulator is more easily diluted in bulk tissue than the signal of a typical mRNA. Searching for</w:t>
      </w:r>
      <w:r>
        <w:t xml:space="preserve"> </w:t>
      </w:r>
      <w:r>
        <w:t xml:space="preserve">“lncRNAs that are differentially expressed in disease tissue”</w:t>
      </w:r>
      <w:r>
        <w:t xml:space="preserve"> </w:t>
      </w:r>
      <w:r>
        <w:t xml:space="preserve">— the standard catalog operation — may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The pipeline is directly applicable to other in vitro–characterised lncRNA regulators whose published mechanism predicts a per-cell direction that may be inverted in bulk by simultaneous expansion of the lncRNA-expressing compartment in disease; the analytic decision is the choice of cell-composition signature (eosinophil and Th2 here, but extendable to ILC2, mast-cell, regulatory-T, dendritic-cell, or epithelial-progenitor signatures) and of public cohorts large enough to support the mediation step. The pipeline supplies an explicit re-reading discipline: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 adjustment supplies a quantitative criterion for distinguishing the two. Single-cell airway atlases</w:t>
      </w:r>
      <w:r>
        <w:t xml:space="preserve"> </w:t>
      </w:r>
      <w:r>
        <w:t xml:space="preserve">[</w:t>
      </w:r>
      <w:hyperlink w:anchor="ref-Travaglini2020_lungatlas">
        <w:r>
          <w:rPr>
            <w:rStyle w:val="Hyperlink"/>
          </w:rPr>
          <w:t xml:space="preserve">24</w:t>
        </w:r>
      </w:hyperlink>
      <w:r>
        <w:t xml:space="preserve">]</w:t>
      </w:r>
      <w:r>
        <w:t xml:space="preserve"> </w:t>
      </w:r>
      <w:r>
        <w:t xml:space="preserve">provide the natural orthogonal substrate against which the pipeline’s predictions can be tested for any specific candidate.</w:t>
      </w:r>
    </w:p>
    <w:bookmarkEnd w:id="29"/>
    <w:bookmarkStart w:id="30" w:name="translational-context"/>
    <w:p>
      <w:pPr>
        <w:pStyle w:val="Heading3"/>
      </w:pPr>
      <w:r>
        <w:t xml:space="preserve">Translational context</w:t>
      </w:r>
    </w:p>
    <w:p>
      <w:pPr>
        <w:pStyle w:val="FirstParagraph"/>
      </w:pPr>
      <w:r>
        <w:t xml:space="preserve">The worked example sits in a clinically tractable axis:</w:t>
      </w:r>
      <w:r>
        <w:t xml:space="preserve"> </w:t>
      </w:r>
      <w:r>
        <w:rPr>
          <w:i/>
          <w:iCs/>
        </w:rPr>
        <w:t xml:space="preserve">IL5</w:t>
      </w:r>
      <w:r>
        <w:t xml:space="preserve"> </w:t>
      </w:r>
      <w:r>
        <w:t xml:space="preserve">is the validated target of three anti-eosinophil biologics — mepolizumab and reslizumab (anti-IL5), benralizumab (anti-IL5Rα) — approved for severe eosinophilic asthma and (for mepolizumab) CRSwNP</w:t>
      </w:r>
      <w:r>
        <w:t xml:space="preserve"> </w:t>
      </w:r>
      <w:r>
        <w:t xml:space="preserve">[</w:t>
      </w:r>
      <w:hyperlink w:anchor="ref-Bel2014_mepolizumab">
        <w:r>
          <w:rPr>
            <w:rStyle w:val="Hyperlink"/>
          </w:rPr>
          <w:t xml:space="preserve">25</w:t>
        </w:r>
      </w:hyperlink>
      <w:r>
        <w:t xml:space="preserve">,</w:t>
      </w:r>
      <w:hyperlink w:anchor="ref-Bachert2017_mepoCRSwNP">
        <w:r>
          <w:rPr>
            <w:rStyle w:val="Hyperlink"/>
          </w:rPr>
          <w:t xml:space="preserve">26</w:t>
        </w:r>
      </w:hyperlink>
      <w:r>
        <w:t xml:space="preserve">]</w:t>
      </w:r>
      <w:r>
        <w:t xml:space="preserve">. Anti-IL13 strategies have shown histologic and endoscopic improvement in eosinophilic esophagitis</w:t>
      </w:r>
      <w:r>
        <w:t xml:space="preserve"> </w:t>
      </w:r>
      <w:r>
        <w:t xml:space="preserve">[</w:t>
      </w:r>
      <w:hyperlink w:anchor="ref-Hirano2019_EoEbiologic">
        <w:r>
          <w:rPr>
            <w:rStyle w:val="Hyperlink"/>
          </w:rPr>
          <w:t xml:space="preserve">27</w:t>
        </w:r>
      </w:hyperlink>
      <w:r>
        <w:t xml:space="preserve">]</w:t>
      </w:r>
      <w:r>
        <w:t xml:space="preserve">. The clinical success of these axes supports that</w:t>
      </w:r>
      <w:r>
        <w:t xml:space="preserve"> </w:t>
      </w:r>
      <w:r>
        <w:rPr>
          <w:i/>
          <w:iCs/>
        </w:rPr>
        <w:t xml:space="preserve">IL5</w:t>
      </w:r>
      <w:r>
        <w:t xml:space="preserve"> </w:t>
      </w:r>
      <w:r>
        <w:t xml:space="preserve">— and the type-2 effector network of which it is part — is clinically central to the eosinophilic phenotype, which in turn implies that upstream regulators of</w:t>
      </w:r>
      <w:r>
        <w:t xml:space="preserve"> </w:t>
      </w:r>
      <w:r>
        <w:rPr>
          <w:i/>
          <w:iCs/>
        </w:rPr>
        <w:t xml:space="preserve">IL5</w:t>
      </w:r>
      <w:r>
        <w:t xml:space="preserve">, including non-coding regulators, are mechanistically of interest. The pipeline’s output for</w:t>
      </w:r>
      <w:r>
        <w:t xml:space="preserve"> </w:t>
      </w:r>
      <w:r>
        <w:rPr>
          <w:i/>
          <w:iCs/>
        </w:rPr>
        <w:t xml:space="preserve">IDI2-AS1</w:t>
      </w:r>
      <w:r>
        <w:t xml:space="preserve"> </w:t>
      </w:r>
      <w:r>
        <w:t xml:space="preserve">does not establish it as an immediate clinical biomarker (bulk-tissue expression is flat) and does not establish it as a therapeutic target. What the pipeline does support is the prioritisation of cell-type-resolved follow-up of this lncRNA, in preference to further bulk-tissue profiling.</w:t>
      </w:r>
    </w:p>
    <w:bookmarkEnd w:id="30"/>
    <w:bookmarkStart w:id="31" w:name="X771af1a5c2285ccf007a88759c7c65f4717ca98"/>
    <w:p>
      <w:pPr>
        <w:pStyle w:val="Heading3"/>
      </w:pPr>
      <w:r>
        <w:t xml:space="preserve">Limitations of the framework and the worked example</w:t>
      </w:r>
    </w:p>
    <w:p>
      <w:pPr>
        <w:pStyle w:val="FirstParagraph"/>
      </w:pPr>
      <w:r>
        <w:t xml:space="preserve">Limitations apply to both the pipeline and its application here. (i) The cell-type-adjustment step primarily uses a marker-gene signature score for full local reproducibility; we repeated the principal asthma analysis with an independent transcriptome-wide deconvolution (xCell), which gave a concordant eosinophil estimate (ρ = 0.62) and the same qualitative conclusion at a more conservative magnitude (≈ 70 % vs ≈ 90 %). This cross-method check also surfaced a practical caution: the default spillover-compensation step of xCell floored the eosinophil estimate in epithelial cohorts (≈ 41 % of asthma samples set to exactly zero), so the raw enrichment rather than the compensated score is the appropriate estimate for a rare, spillover-prone cell type — generic deconvolution applied without this check would have produced a spuriously null adjustment. Both the marker score and the xCell estimate nonetheless treat the eosinophil compartment as a one-dimensional summary, and neither separates a change in eosinophil number from a change in per-eosinophil marker expression. (ii) The mediation decomposition requires sample sizes large enough to support stable bootstrap estimates of ACME and ADE; this condition is met only in the asthma cohort (</w:t>
      </w:r>
      <w:r>
        <w:rPr>
          <w:i/>
          <w:iCs/>
        </w:rPr>
        <w:t xml:space="preserve">n</w:t>
      </w:r>
      <w:r>
        <w:t xml:space="preserve"> </w:t>
      </w:r>
      <w:r>
        <w:t xml:space="preserve">= 695); the exploratory AD and CRSwNP decompositions were underpowered and mixed in direction (AD positive, CRSwNP slightly negative, neither significant), and EoE was not decomposed because</w:t>
      </w:r>
      <w:r>
        <w:t xml:space="preserve"> </w:t>
      </w:r>
      <w:r>
        <w:rPr>
          <w:i/>
          <w:iCs/>
        </w:rPr>
        <w:t xml:space="preserve">n</w:t>
      </w:r>
      <w:r>
        <w:t xml:space="preserve"> </w:t>
      </w:r>
      <w:r>
        <w:t xml:space="preserve">&lt; 20, so all four smaller-cohort results await adequately powered replication. (iii) Because the underlying data are cross-sectional observational, the ACME / ADE values are statistical decompositions under the assumed mediator-outcome model, not strict counterfactual causal effects. (iv) We relied on public datasets not designed for lncRNA discovery; library preparation and depth differ between cohorts, and the inclusion criterion required</w:t>
      </w:r>
      <w:r>
        <w:t xml:space="preserve"> </w:t>
      </w:r>
      <w:r>
        <w:rPr>
          <w:i/>
          <w:iCs/>
        </w:rPr>
        <w:t xml:space="preserve">IDI2-AS1</w:t>
      </w:r>
      <w:r>
        <w:t xml:space="preserve"> </w:t>
      </w:r>
      <w:r>
        <w:t xml:space="preserve">to be a non-zero feature in each retained dataset. (v) Meta-analysis pools log</w:t>
      </w:r>
      <w:r>
        <w:rPr>
          <w:vertAlign w:val="subscript"/>
        </w:rPr>
        <w:t xml:space="preserve">2</w:t>
      </w:r>
      <w:r>
        <w:t xml:space="preserve">FC across biologically distinct tissues; every cohort independently converged on a near-null bulk-tissue effect, which is the substantive observation, but pooled effect sizes are summary statistics of cohort-level convergence rather than a single biological estimand. (vi) The pipeline is bulk-only by design; it cannot replace single-cell or spatial transcriptomics, and its purpose is to extract maximally defensible interpretation from bulk data and nominate candidates for cell-resolved follow-up. (vii) The central biological interpretation in the worked example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generated by the pipeline, not a direct measurement; the decisive experiment is single-cell or spatial transcriptomics. Future work should (a) re-examine</w:t>
      </w:r>
      <w:r>
        <w:t xml:space="preserve"> </w:t>
      </w:r>
      <w:r>
        <w:rPr>
          <w:i/>
          <w:iCs/>
        </w:rPr>
        <w:t xml:space="preserve">IDI2-AS1</w:t>
      </w:r>
      <w:r>
        <w:t xml:space="preserve"> </w:t>
      </w:r>
      <w:r>
        <w:t xml:space="preserve">and its regulatory circuit in single-cell airway and skin atlases, (b) test whether</w:t>
      </w:r>
      <w:r>
        <w:t xml:space="preserve"> </w:t>
      </w:r>
      <w:r>
        <w:rPr>
          <w:i/>
          <w:iCs/>
        </w:rPr>
        <w:t xml:space="preserve">IDI2-AS1</w:t>
      </w:r>
      <w:r>
        <w:t xml:space="preserve"> </w:t>
      </w:r>
      <w:r>
        <w:t xml:space="preserve">knock-down in primary human Th2 cells phenocopies the cell-line phenotype, (c) ask whether per-cell</w:t>
      </w:r>
      <w:r>
        <w:t xml:space="preserve"> </w:t>
      </w:r>
      <w:r>
        <w:rPr>
          <w:i/>
          <w:iCs/>
        </w:rPr>
        <w:t xml:space="preserve">IDI2-AS1</w:t>
      </w:r>
      <w:r>
        <w:t xml:space="preserve"> </w:t>
      </w:r>
      <w:r>
        <w:t xml:space="preserve">responds to therapeutic modulation in single-cell profiling of patients before and during anti-IL5 or anti-IL13 biologic therapy, and (d) apply the same pipeline to additional in vitro–characterised lncRNA regulators that fit the low-abundance, cell-type-restricted profile.</w:t>
      </w:r>
    </w:p>
    <w:bookmarkEnd w:id="31"/>
    <w:bookmarkStart w:id="32" w:name="summary"/>
    <w:p>
      <w:pPr>
        <w:pStyle w:val="Heading3"/>
      </w:pPr>
      <w:r>
        <w:t xml:space="preserve">Summary</w:t>
      </w:r>
    </w:p>
    <w:p>
      <w:pPr>
        <w:pStyle w:val="FirstParagraph"/>
      </w:pPr>
      <w:r>
        <w:t xml:space="preserve">We have introduced a reusable, cell-composition-adjusted re-analysis pipeline that statistically separates composition-associated from residual (per-cell-surrogate) contributions to bulk-tissue RNA-seq signals for low-abundance, cell-type-restricted lncRNA candidates. As a worked example, the pipeline was applied to</w:t>
      </w:r>
      <w:r>
        <w:t xml:space="preserve"> </w:t>
      </w:r>
      <w:r>
        <w:rPr>
          <w:i/>
          <w:iCs/>
        </w:rPr>
        <w:t xml:space="preserve">IDI2-AS1</w:t>
      </w:r>
      <w:r>
        <w:t xml:space="preserve"> </w:t>
      </w:r>
      <w:r>
        <w:t xml:space="preserve">across five public RNA-seq cohorts (</w:t>
      </w:r>
      <w:r>
        <w:rPr>
          <w:i/>
          <w:iCs/>
        </w:rPr>
        <w:t xml:space="preserve">n</w:t>
      </w:r>
      <w:r>
        <w:t xml:space="preserve"> </w:t>
      </w:r>
      <w:r>
        <w:t xml:space="preserve">= 856) covering four type-2 allergic diseases. In the largest cohort the pipeline attributed the majority (≈ 70–90 %, depending on the abundance estimator, and reproduced by independent deconvolution) of the bulk-level</w:t>
      </w:r>
      <w:r>
        <w:t xml:space="preserve"> </w:t>
      </w:r>
      <w:r>
        <w:rPr>
          <w:i/>
          <w:iCs/>
        </w:rPr>
        <w:t xml:space="preserve">IDI2-AS1</w:t>
      </w:r>
      <w:r>
        <w:t xml:space="preserve">–</w:t>
      </w:r>
      <w:r>
        <w:rPr>
          <w:i/>
          <w:iCs/>
        </w:rPr>
        <w:t xml:space="preserve">IL5</w:t>
      </w:r>
      <w:r>
        <w:t xml:space="preserve"> </w:t>
      </w:r>
      <w:r>
        <w:t xml:space="preserve">covariation to shared eosinophil abundance, with no detectable within-tissue residual component, converting a pair of bulk outputs that would individually be read as opposing one another into a single, mutually consistent reading: a possible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patient effector cells would be masked rather than contradicted by the bulk readout. Whether the in vitro mechanism actually operates in patient cells will require single-cell or spatial transcriptomics for adjudication. Beyond the</w:t>
      </w:r>
      <w:r>
        <w:t xml:space="preserve"> </w:t>
      </w:r>
      <w:r>
        <w:rPr>
          <w:i/>
          <w:iCs/>
        </w:rPr>
        <w:t xml:space="preserve">IDI2-AS1</w:t>
      </w:r>
      <w:r>
        <w:t xml:space="preserve"> </w:t>
      </w:r>
      <w:r>
        <w:t xml:space="preserve">case, the pipeline is directly applicable to other low-abundance, cell-type-restricted lncRNA candidates whose bulk-tissue null results might otherwise be mis-read as evidence against in vivo relevance, and supplies an explicit re-reading discipline for the large body of clinically annotated bulk transcriptomic data already in the public domain.</w:t>
      </w:r>
    </w:p>
    <w:bookmarkEnd w:id="32"/>
    <w:bookmarkEnd w:id="33"/>
    <w:bookmarkStart w:id="44" w:name="declarations"/>
    <w:p>
      <w:pPr>
        <w:pStyle w:val="Heading2"/>
      </w:pPr>
      <w:r>
        <w:t xml:space="preserve">Declarations</w:t>
      </w:r>
    </w:p>
    <w:bookmarkStart w:id="34" w:name="funding"/>
    <w:p>
      <w:pPr>
        <w:pStyle w:val="Heading3"/>
      </w:pPr>
      <w:r>
        <w:t xml:space="preserve">Funding</w:t>
      </w:r>
    </w:p>
    <w:p>
      <w:pPr>
        <w:pStyle w:val="FirstParagraph"/>
      </w:pPr>
      <w:r>
        <w:t xml:space="preserve">No funding was received for conducting this study.</w:t>
      </w:r>
    </w:p>
    <w:bookmarkEnd w:id="34"/>
    <w:bookmarkStart w:id="35" w:name="clinical-trial-number"/>
    <w:p>
      <w:pPr>
        <w:pStyle w:val="Heading3"/>
      </w:pPr>
      <w:r>
        <w:t xml:space="preserve">Clinical trial number</w:t>
      </w:r>
    </w:p>
    <w:p>
      <w:pPr>
        <w:pStyle w:val="FirstParagraph"/>
      </w:pPr>
      <w:r>
        <w:t xml:space="preserve">Clinical trial number: not applicable.</w:t>
      </w:r>
    </w:p>
    <w:bookmarkEnd w:id="35"/>
    <w:bookmarkStart w:id="36" w:name="competing-interests"/>
    <w:p>
      <w:pPr>
        <w:pStyle w:val="Heading3"/>
      </w:pPr>
      <w:r>
        <w:t xml:space="preserve">Competing interests</w:t>
      </w:r>
    </w:p>
    <w:p>
      <w:pPr>
        <w:pStyle w:val="FirstParagraph"/>
      </w:pPr>
      <w:r>
        <w:t xml:space="preserve">The author has no relevant financial or non-financial interests to disclose.</w:t>
      </w:r>
    </w:p>
    <w:bookmarkEnd w:id="36"/>
    <w:bookmarkStart w:id="37" w:name="ethics-approval"/>
    <w:p>
      <w:pPr>
        <w:pStyle w:val="Heading3"/>
      </w:pPr>
      <w:r>
        <w:t xml:space="preserve">Ethics approval</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 for this retrospective re-analysis of fully de-identified public data.</w:t>
      </w:r>
    </w:p>
    <w:bookmarkEnd w:id="37"/>
    <w:bookmarkStart w:id="38" w:name="consent-to-participate"/>
    <w:p>
      <w:pPr>
        <w:pStyle w:val="Heading3"/>
      </w:pPr>
      <w:r>
        <w:t xml:space="preserve">Consent to participate</w:t>
      </w:r>
    </w:p>
    <w:p>
      <w:pPr>
        <w:pStyle w:val="FirstParagraph"/>
      </w:pPr>
      <w:r>
        <w:t xml:space="preserve">Not applicable. The study did not involve new human participants; all data were obtained from publicly available, fully de-identified datasets.</w:t>
      </w:r>
    </w:p>
    <w:bookmarkEnd w:id="38"/>
    <w:bookmarkStart w:id="39" w:name="consent-for-publication"/>
    <w:p>
      <w:pPr>
        <w:pStyle w:val="Heading3"/>
      </w:pPr>
      <w:r>
        <w:t xml:space="preserve">Consent for publication</w:t>
      </w:r>
    </w:p>
    <w:p>
      <w:pPr>
        <w:pStyle w:val="FirstParagraph"/>
      </w:pPr>
      <w:r>
        <w:t xml:space="preserve">Not applicable.</w:t>
      </w:r>
    </w:p>
    <w:bookmarkEnd w:id="39"/>
    <w:bookmarkStart w:id="40" w:name="data-availability"/>
    <w:p>
      <w:pPr>
        <w:pStyle w:val="Heading3"/>
      </w:pPr>
      <w:r>
        <w:t xml:space="preserve">Data availability</w:t>
      </w:r>
    </w:p>
    <w:p>
      <w:pPr>
        <w:pStyle w:val="FirstParagraph"/>
      </w:pPr>
      <w:r>
        <w:t xml:space="preserve">All datasets re-analyzed in this study are publicly available from the NCBI Gene Expression Omnibus (GEO) under accession numbers GSE152004 (asthma;</w:t>
      </w:r>
      <w:r>
        <w:t xml:space="preserve"> </w:t>
      </w:r>
      <w:r>
        <w:t xml:space="preserve">[</w:t>
      </w:r>
      <w:hyperlink w:anchor="ref-Sajuthi2020_GSE152004">
        <w:r>
          <w:rPr>
            <w:rStyle w:val="Hyperlink"/>
          </w:rPr>
          <w:t xml:space="preserve">7</w:t>
        </w:r>
      </w:hyperlink>
      <w:r>
        <w:t xml:space="preserve">]</w:t>
      </w:r>
      <w:r>
        <w:t xml:space="preserve">), GSE121212 (atopic dermatitis;</w:t>
      </w:r>
      <w:r>
        <w:t xml:space="preserve"> </w:t>
      </w:r>
      <w:r>
        <w:t xml:space="preserve">[</w:t>
      </w:r>
      <w:hyperlink w:anchor="ref-Tsoi2018_GSE121212">
        <w:r>
          <w:rPr>
            <w:rStyle w:val="Hyperlink"/>
          </w:rPr>
          <w:t xml:space="preserve">8</w:t>
        </w:r>
      </w:hyperlink>
      <w:r>
        <w:t xml:space="preserve">]</w:t>
      </w:r>
      <w:r>
        <w:t xml:space="preserve">), GSE58640 (eosinophilic esophagitis;</w:t>
      </w:r>
      <w:r>
        <w:t xml:space="preserve"> </w:t>
      </w:r>
      <w:r>
        <w:t xml:space="preserve">[</w:t>
      </w:r>
      <w:hyperlink w:anchor="ref-Sherrill2014_GSE58640">
        <w:r>
          <w:rPr>
            <w:rStyle w:val="Hyperlink"/>
          </w:rPr>
          <w:t xml:space="preserve">9</w:t>
        </w:r>
      </w:hyperlink>
      <w:r>
        <w:t xml:space="preserve">]</w:t>
      </w:r>
      <w:r>
        <w:t xml:space="preserve">), GSE246323 (eosinophilic esophagitis;</w:t>
      </w:r>
      <w:r>
        <w:t xml:space="preserve"> </w:t>
      </w:r>
      <w:r>
        <w:t xml:space="preserve">[</w:t>
      </w:r>
      <w:hyperlink w:anchor="ref-Kleuskens2024_GSE246323">
        <w:r>
          <w:rPr>
            <w:rStyle w:val="Hyperlink"/>
          </w:rPr>
          <w:t xml:space="preserve">10</w:t>
        </w:r>
      </w:hyperlink>
      <w:r>
        <w:t xml:space="preserve">]</w:t>
      </w:r>
      <w:r>
        <w:t xml:space="preserve">), and GSE136825 (chronic rhinosinusitis with nasal polyposis;</w:t>
      </w:r>
      <w:r>
        <w:t xml:space="preserve"> </w:t>
      </w:r>
      <w:r>
        <w:t xml:space="preserve">[</w:t>
      </w:r>
      <w:hyperlink w:anchor="ref-Peng2019_GSE136825">
        <w:r>
          <w:rPr>
            <w:rStyle w:val="Hyperlink"/>
          </w:rPr>
          <w:t xml:space="preserve">11</w:t>
        </w:r>
      </w:hyperlink>
      <w:r>
        <w:t xml:space="preserve">]</w:t>
      </w:r>
      <w:r>
        <w:t xml:space="preserve">).</w:t>
      </w:r>
    </w:p>
    <w:bookmarkEnd w:id="40"/>
    <w:bookmarkStart w:id="41" w:name="code-availability"/>
    <w:p>
      <w:pPr>
        <w:pStyle w:val="Heading3"/>
      </w:pPr>
      <w:r>
        <w:t xml:space="preserve">Code availability</w:t>
      </w:r>
    </w:p>
    <w:p>
      <w:pPr>
        <w:pStyle w:val="FirstParagraph"/>
      </w:pPr>
      <w:r>
        <w:t xml:space="preserve">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(R 4.3.2, Bioconductor 3.18) for full reproducibility.</w:t>
      </w:r>
    </w:p>
    <w:bookmarkEnd w:id="41"/>
    <w:bookmarkStart w:id="42" w:name="author-contributions"/>
    <w:p>
      <w:pPr>
        <w:pStyle w:val="Heading3"/>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42"/>
    <w:bookmarkStart w:id="43" w:name="use-of-generative-ai"/>
    <w:p>
      <w:pPr>
        <w:pStyle w:val="Heading3"/>
      </w:pPr>
      <w:r>
        <w:t xml:space="preserve">Use of generative AI</w:t>
      </w:r>
    </w:p>
    <w:p>
      <w:pPr>
        <w:pStyle w:val="FirstParagraph"/>
      </w:pPr>
      <w:r>
        <w:t xml:space="preserve">During the preparation of this manuscript, the author used Anthropic Claude Code (Claude Opus) as a writing and coding assistant. To make the boundary of this assistance explicit, as requested by peer review: the AI assistant was used to (i) implement analysis and figure-generation code from the author’s specifications, and (ii) draft and copy-edit manuscript prose. All substantive statistical and analytical decisions were made by the author — specifically, the choice of differential-expression and meta-analysis models, the decision to use random-effects pooling, the selection of the eosinophil and Th2 marker panels, the choice to condition on cell-composition signatures and to use a mediation-style decomposition, the decision to corroborate the marker result with an independent deconvolution (xCell) and to use the raw rather than spillover-compensated enrichment, the restriction of the quantitative claim to the asthma cohort, and the framing of the decomposition as a statistical rather than causal partition. Every numerical result was regenerated from the released code and verified by the author against the source data. The author takes full responsibility for the content of the publication. This use is also noted in the Methods.</w:t>
      </w:r>
    </w:p>
    <w:bookmarkEnd w:id="43"/>
    <w:bookmarkEnd w:id="44"/>
    <w:bookmarkStart w:id="45"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 and inferior-turbinate control).</w:t>
      </w:r>
      <w:r>
        <w:t xml:space="preserve"> </w:t>
      </w:r>
      <w:r>
        <w:rPr>
          <w:b/>
          <w:bCs/>
        </w:rPr>
        <w:t xml:space="preserve">Stage 2 (Uniform pipeline):</w:t>
      </w:r>
      <w:r>
        <w:t xml:space="preserve"> </w:t>
      </w:r>
      <w:r>
        <w:t xml:space="preserve">the analytical steps — steps (i)–(iv) applied to every dataset, step (v) to the adequately powered asthma cohort: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(with the eosinophil step additionally checked using independent xCell deconvolution as a cross-method robustness analysis), and (v) a bootstrap effect decomposition in the asthma cohort (1 000 resamples; exploratory and underpowered in the smaller cohorts).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the majority of that positive association is attributed to the eosinophil compartment — ≈ 90 % under the marker signature and ≈ 70 % under independent xCell deconvolution (both</w:t>
      </w:r>
      <w:r>
        <w:t xml:space="preserve"> </w:t>
      </w:r>
      <w:r>
        <w:rPr>
          <w:i/>
          <w:iCs/>
        </w:rPr>
        <w:t xml:space="preserve">p</w:t>
      </w:r>
      <w:r>
        <w:t xml:space="preserve"> </w:t>
      </w:r>
      <w:r>
        <w:t xml:space="preserve">≤ 0.006) — with a within-tissue residual component indistinguishable from zero under both estimators (+0.012,</w:t>
      </w:r>
      <w:r>
        <w:t xml:space="preserve"> </w:t>
      </w:r>
      <w:r>
        <w:rPr>
          <w:i/>
          <w:iCs/>
        </w:rPr>
        <w:t xml:space="preserve">p</w:t>
      </w:r>
      <w:r>
        <w:t xml:space="preserve"> </w:t>
      </w:r>
      <w:r>
        <w:t xml:space="preserve">= 0.76 for the marker; +0.037,</w:t>
      </w:r>
      <w:r>
        <w:t xml:space="preserve"> </w:t>
      </w:r>
      <w:r>
        <w:rPr>
          <w:i/>
          <w:iCs/>
        </w:rPr>
        <w:t xml:space="preserve">p</w:t>
      </w:r>
      <w:r>
        <w:t xml:space="preserve"> </w:t>
      </w:r>
      <w:r>
        <w:t xml:space="preserve">= 0.57 for xCell).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rPr>
          <w:vertAlign w:val="subscript"/>
        </w:rP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rPr>
          <w:vertAlign w:val="superscript"/>
        </w:rP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rPr>
          <w:vertAlign w:val="subscript"/>
        </w:rP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rPr>
          <w:vertAlign w:val="superscript"/>
        </w:rP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rPr>
          <w:vertAlign w:val="subscript"/>
        </w:rP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r>
        <w:t xml:space="preserve"> </w:t>
      </w:r>
      <w:r>
        <w:t xml:space="preserve">[</w:t>
      </w:r>
      <w:hyperlink w:anchor="ref-Endo2025_IDI2AS1">
        <w:r>
          <w:rPr>
            <w:rStyle w:val="Hyperlink"/>
          </w:rPr>
          <w:t xml:space="preserve">5</w:t>
        </w:r>
      </w:hyperlink>
      <w:r>
        <w:t xml:space="preserve">]</w:t>
      </w:r>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(A)</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(same data as Fig. 3, shown here at uniform aspect ratio for direct visual comparison with panel B).</w:t>
      </w:r>
      <w:r>
        <w:t xml:space="preserve"> </w:t>
      </w:r>
      <w:r>
        <w:rPr>
          <w:b/>
          <w:bCs/>
        </w:rPr>
        <w:t xml:space="preserve">(B)</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 one panel per cohort.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(panel A), is the visual basis for the cell-composition explanation formally quantified as a partial Spearman correlation and a bootstrap mediation-style decomposition in Table 3. The complementary</w:t>
      </w:r>
      <w:r>
        <w:t xml:space="preserve"> </w:t>
      </w:r>
      <w:r>
        <w:rPr>
          <w:i/>
          <w:iCs/>
        </w:rPr>
        <w:t xml:space="preserve">IDI2-AS1</w:t>
      </w:r>
      <w:r>
        <w:t xml:space="preserve"> </w:t>
      </w:r>
      <w:r>
        <w:t xml:space="preserve">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rPr>
          <w:vertAlign w:val="subscript"/>
        </w:rP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rPr>
          <w:vertAlign w:val="subscript"/>
        </w:rP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rPr>
          <w:vertAlign w:val="subscript"/>
        </w:rP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rPr>
          <w:vertAlign w:val="subscript"/>
        </w:rP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in EoE-Sherrill (+0.91,</w:t>
      </w:r>
      <w:r>
        <w:t xml:space="preserve"> </w:t>
      </w:r>
      <w:r>
        <w:rPr>
          <w:i/>
          <w:iCs/>
        </w:rPr>
        <w:t xml:space="preserve">p</w:t>
      </w:r>
      <w:r>
        <w:rPr>
          <w:vertAlign w:val="subscript"/>
        </w:rPr>
        <w:t xml:space="preserve">adj</w:t>
      </w:r>
      <w:r>
        <w:t xml:space="preserve"> </w:t>
      </w:r>
      <w:r>
        <w:t xml:space="preserve">= 2 × 10</w:t>
      </w:r>
      <w:r>
        <w:rPr>
          <w:vertAlign w:val="superscript"/>
        </w:rP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rPr>
          <w:vertAlign w:val="subscript"/>
        </w:rPr>
        <w:t xml:space="preserve">adj</w:t>
      </w:r>
      <w:r>
        <w:t xml:space="preserve"> </w:t>
      </w:r>
      <w:r>
        <w:t xml:space="preserve">= 0.014) and in EoE-Sherrill (+0.61,</w:t>
      </w:r>
      <w:r>
        <w:t xml:space="preserve"> </w:t>
      </w:r>
      <w:r>
        <w:rPr>
          <w:i/>
          <w:iCs/>
        </w:rPr>
        <w:t xml:space="preserve">p</w:t>
      </w:r>
      <w:r>
        <w:rPr>
          <w:vertAlign w:val="subscript"/>
        </w:rP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rPr>
          <w:vertAlign w:val="subscript"/>
        </w:rPr>
        <w:t xml:space="preserve">adj</w:t>
      </w:r>
      <w:r>
        <w:t xml:space="preserve"> </w:t>
      </w:r>
      <w:r>
        <w:t xml:space="preserve">= 5 × 10</w:t>
      </w:r>
      <w:r>
        <w:rPr>
          <w:vertAlign w:val="superscript"/>
        </w:rP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p>
      <w:pPr>
        <w:pStyle w:val="BodyText"/>
      </w:pPr>
      <w:r>
        <w:rPr>
          <w:b/>
          <w:bCs/>
        </w:rPr>
        <w:t xml:space="preserve">Fig. 6. The eosinophil-composition result is reproduced by independent deconvolution (asthma cohort).</w:t>
      </w:r>
      <w:r>
        <w:t xml:space="preserve"> </w:t>
      </w:r>
      <w:r>
        <w:rPr>
          <w:b/>
          <w:bCs/>
        </w:rPr>
        <w:t xml:space="preserve">(A)</w:t>
      </w:r>
      <w:r>
        <w:t xml:space="preserve"> </w:t>
      </w:r>
      <w:r>
        <w:t xml:space="preserve">Concordance between the two per-sample eosinophil-abundance estimates in asthma (GSE152004,</w:t>
      </w:r>
      <w:r>
        <w:t xml:space="preserve"> </w:t>
      </w:r>
      <w:r>
        <w:rPr>
          <w:i/>
          <w:iCs/>
        </w:rPr>
        <w:t xml:space="preserve">n</w:t>
      </w:r>
      <w:r>
        <w:t xml:space="preserve"> </w:t>
      </w:r>
      <w:r>
        <w:t xml:space="preserve">= 695): the 7-gene marker-signature</w:t>
      </w:r>
      <w:r>
        <w:t xml:space="preserve"> </w:t>
      </w:r>
      <w:r>
        <w:rPr>
          <w:i/>
          <w:iCs/>
        </w:rPr>
        <w:t xml:space="preserve">z</w:t>
      </w:r>
      <w:r>
        <w:t xml:space="preserve">-score (x-axis) versus the xCell raw ssGSEA enrichment score (y-axis); Spearman ρ = 0.62.</w:t>
      </w:r>
      <w:r>
        <w:t xml:space="preserve"> </w:t>
      </w:r>
      <w:r>
        <w:rPr>
          <w:b/>
          <w:bCs/>
        </w:rPr>
        <w:t xml:space="preserve">(B)</w:t>
      </w:r>
      <w:r>
        <w:t xml:space="preserve"> </w:t>
      </w:r>
      <w:r>
        <w:t xml:space="preserve">Partial Spearman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in each cohort, before adjustment (Raw) and after conditioning on eosinophil abundance estimated by the marker signature (Marker z), the xCell raw enrichment (xCell raw), or the xCell spillover-compensated score (xCell comp.). In asthma the raw ρ = +0.109 attenuates to +0.048 (marker) and +0.074 (xCell raw); the compensated score does not attenuate it because it is floored (panel D).</w:t>
      </w:r>
      <w:r>
        <w:t xml:space="preserve"> </w:t>
      </w:r>
      <w:r>
        <w:rPr>
          <w:b/>
          <w:bCs/>
        </w:rPr>
        <w:t xml:space="preserve">(C)</w:t>
      </w:r>
      <w:r>
        <w:t xml:space="preserve"> </w:t>
      </w:r>
      <w:r>
        <w:t xml:space="preserve">Bootstrap decomposition of the</w:t>
      </w:r>
      <w:r>
        <w:t xml:space="preserve"> </w:t>
      </w:r>
      <w:r>
        <w:rPr>
          <w:i/>
          <w:iCs/>
        </w:rPr>
        <w:t xml:space="preserve">IDI2-AS1</w:t>
      </w:r>
      <w:r>
        <w:t xml:space="preserve">–</w:t>
      </w:r>
      <w:r>
        <w:rPr>
          <w:i/>
          <w:iCs/>
        </w:rPr>
        <w:t xml:space="preserve">IL5</w:t>
      </w:r>
      <w:r>
        <w:t xml:space="preserve"> </w:t>
      </w:r>
      <w:r>
        <w:t xml:space="preserve">association in asthma into the eosinophil-attributable component (ACME, point with 95 % bootstrap CI) under each abundance estimator; the percentage above each point is the proportion of the total association attributed to eosinophil abundance. Blue =</w:t>
      </w:r>
      <w:r>
        <w:t xml:space="preserve"> </w:t>
      </w:r>
      <w:r>
        <w:rPr>
          <w:i/>
          <w:iCs/>
        </w:rPr>
        <w:t xml:space="preserve">p</w:t>
      </w:r>
      <w:r>
        <w:t xml:space="preserve"> </w:t>
      </w:r>
      <w:r>
        <w:t xml:space="preserve">&lt; 0.05, red = non-significant. The marker (90 %,</w:t>
      </w:r>
      <w:r>
        <w:t xml:space="preserve"> </w:t>
      </w:r>
      <w:r>
        <w:rPr>
          <w:i/>
          <w:iCs/>
        </w:rPr>
        <w:t xml:space="preserve">p</w:t>
      </w:r>
      <w:r>
        <w:t xml:space="preserve"> </w:t>
      </w:r>
      <w:r>
        <w:t xml:space="preserve">= 0.002) and xCell raw (70 %,</w:t>
      </w:r>
      <w:r>
        <w:t xml:space="preserve"> </w:t>
      </w:r>
      <w:r>
        <w:rPr>
          <w:i/>
          <w:iCs/>
        </w:rPr>
        <w:t xml:space="preserve">p</w:t>
      </w:r>
      <w:r>
        <w:t xml:space="preserve"> </w:t>
      </w:r>
      <w:r>
        <w:t xml:space="preserve">= 0.006) estimators agree; the spillover-compensated estimator is null (23 %, n.s.) for the artefactual reason shown in panel D.</w:t>
      </w:r>
      <w:r>
        <w:t xml:space="preserve"> </w:t>
      </w:r>
      <w:r>
        <w:rPr>
          <w:b/>
          <w:bCs/>
        </w:rPr>
        <w:t xml:space="preserve">(D)</w:t>
      </w:r>
      <w:r>
        <w:t xml:space="preserve"> </w:t>
      </w:r>
      <w:r>
        <w:t xml:space="preserve">Distribution of the two xCell eosinophil estimates (z-scaled) in asthma: the default spillover-compensated score collapses to its floor (≈ 41 % of samples exactly zero, near-zero variance), whereas the raw enrichment retains a biologically plausible spread. This demonstrates why the raw enrichment is the appropriate estimate for a rare, spillover-prone cell type in epithelial tissue, and cautions against applying off-the-shelf compensated deconvolution to such cell types without inspection.</w:t>
      </w:r>
    </w:p>
    <w:bookmarkEnd w:id="45"/>
    <w:bookmarkStart w:id="101" w:name="supplementary-figure-legends"/>
    <w:p>
      <w:pPr>
        <w:pStyle w:val="Heading2"/>
      </w:pPr>
      <w:r>
        <w:t xml:space="preserve">Supplementary Figure legends</w:t>
      </w:r>
    </w:p>
    <w:p>
      <w:pPr>
        <w:pStyle w:val="FirstParagraph"/>
      </w:pPr>
      <w:r>
        <w:rPr>
          <w:b/>
          <w:bCs/>
        </w:rPr>
        <w:t xml:space="preserve">Supplementary Fig. 1.</w:t>
      </w:r>
      <w:r>
        <w:rPr>
          <w:b/>
          <w:bCs/>
        </w:rPr>
        <w:t xml:space="preserve"> </w:t>
      </w:r>
      <w:r>
        <w:rPr>
          <w:b/>
          <w:bCs/>
          <w:i/>
          <w:iCs/>
        </w:rPr>
        <w:t xml:space="preserve">IDI2-AS1</w:t>
      </w:r>
      <w:r>
        <w:rPr>
          <w:b/>
          <w:bCs/>
        </w:rPr>
        <w:t xml:space="preserve"> </w:t>
      </w:r>
      <w:r>
        <w:rPr>
          <w:b/>
          <w:bCs/>
        </w:rPr>
        <w:t xml:space="preserve">vs Th2 / type-2 marker signature per cohort.</w:t>
      </w:r>
      <w:r>
        <w:t xml:space="preserve"> </w:t>
      </w:r>
      <w:r>
        <w:t xml:space="preserve">Per-sample</w:t>
      </w:r>
      <w:r>
        <w:t xml:space="preserve"> </w:t>
      </w:r>
      <w:r>
        <w:rPr>
          <w:i/>
          <w:iCs/>
        </w:rPr>
        <w:t xml:space="preserve">IDI2-AS1</w:t>
      </w:r>
      <w:r>
        <w:t xml:space="preserve"> </w:t>
      </w:r>
      <w:r>
        <w:t xml:space="preserve">(x-axis) vs Th2 / type-2 marker-signature score (y-axis,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in each of the five cohorts. Signatures are standardized within each cohort. This panel complements Fig. 4B (eosinophil signature) and shows the cohort-by-cohort relationship between</w:t>
      </w:r>
      <w:r>
        <w:t xml:space="preserve"> </w:t>
      </w:r>
      <w:r>
        <w:rPr>
          <w:i/>
          <w:iCs/>
        </w:rPr>
        <w:t xml:space="preserve">IDI2-AS1</w:t>
      </w:r>
      <w:r>
        <w:t xml:space="preserve"> </w:t>
      </w:r>
      <w:r>
        <w:t xml:space="preserve">and the broader type-2 effector compartment.</w:t>
      </w:r>
    </w:p>
    <w:bookmarkStart w:id="100" w:name="refs"/>
    <w:bookmarkStart w:id="47"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w:t>
      </w:r>
      <w:r>
        <w:t xml:space="preserve"> </w:t>
      </w:r>
      <w:hyperlink r:id="rId46">
        <w:r>
          <w:rPr>
            <w:rStyle w:val="Hyperlink"/>
          </w:rPr>
          <w:t xml:space="preserve">https://doi.org/10.1038/s41580-022-00566-8</w:t>
        </w:r>
      </w:hyperlink>
      <w:r>
        <w:t xml:space="preserve">.</w:t>
      </w:r>
    </w:p>
    <w:bookmarkEnd w:id="47"/>
    <w:bookmarkStart w:id="49"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w:t>
      </w:r>
      <w:r>
        <w:t xml:space="preserve"> </w:t>
      </w:r>
      <w:hyperlink r:id="rId48">
        <w:r>
          <w:rPr>
            <w:rStyle w:val="Hyperlink"/>
          </w:rPr>
          <w:t xml:space="preserve">https://doi.org/10.1038/s41580-020-00315-9</w:t>
        </w:r>
      </w:hyperlink>
      <w:r>
        <w:t xml:space="preserve">.</w:t>
      </w:r>
    </w:p>
    <w:bookmarkEnd w:id="49"/>
    <w:bookmarkStart w:id="51"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w:t>
      </w:r>
      <w:r>
        <w:t xml:space="preserve"> </w:t>
      </w:r>
      <w:hyperlink r:id="rId50">
        <w:r>
          <w:rPr>
            <w:rStyle w:val="Hyperlink"/>
          </w:rPr>
          <w:t xml:space="preserve">https://doi.org/10.1101/gr.130559.111</w:t>
        </w:r>
      </w:hyperlink>
      <w:r>
        <w:t xml:space="preserve">.</w:t>
      </w:r>
    </w:p>
    <w:bookmarkEnd w:id="51"/>
    <w:bookmarkStart w:id="53"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w:t>
      </w:r>
      <w:r>
        <w:t xml:space="preserve"> </w:t>
      </w:r>
      <w:hyperlink r:id="rId52">
        <w:r>
          <w:rPr>
            <w:rStyle w:val="Hyperlink"/>
          </w:rPr>
          <w:t xml:space="preserve">https://doi.org/10.1101/gad.17446611</w:t>
        </w:r>
      </w:hyperlink>
      <w:r>
        <w:t xml:space="preserve">.</w:t>
      </w:r>
    </w:p>
    <w:bookmarkEnd w:id="53"/>
    <w:bookmarkStart w:id="55"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w:t>
      </w:r>
      <w:r>
        <w:t xml:space="preserve"> </w:t>
      </w:r>
      <w:hyperlink r:id="rId54">
        <w:r>
          <w:rPr>
            <w:rStyle w:val="Hyperlink"/>
          </w:rPr>
          <w:t xml:space="preserve">https://doi.org/10.1016/j.bbrc.2025.151733</w:t>
        </w:r>
      </w:hyperlink>
      <w:r>
        <w:t xml:space="preserve">.</w:t>
      </w:r>
    </w:p>
    <w:bookmarkEnd w:id="55"/>
    <w:bookmarkStart w:id="57" w:name="ref-Lambrecht2019_type2review"/>
    <w:p>
      <w:pPr>
        <w:pStyle w:val="Bibliography"/>
      </w:pPr>
      <w:r>
        <w:t xml:space="preserve">[6]</w:t>
      </w:r>
      <w:r>
        <w:t xml:space="preserve"> </w:t>
      </w:r>
      <w:r>
        <w:t xml:space="preserve">	</w:t>
      </w:r>
      <w:r>
        <w:t xml:space="preserve">Lambrecht BN, Hammad H, Fahy JV. The cytokines of asthma. Immunity 2019;50:975–91.</w:t>
      </w:r>
      <w:r>
        <w:t xml:space="preserve"> </w:t>
      </w:r>
      <w:hyperlink r:id="rId56">
        <w:r>
          <w:rPr>
            <w:rStyle w:val="Hyperlink"/>
          </w:rPr>
          <w:t xml:space="preserve">https://doi.org/10.1016/j.immuni.2019.03.018</w:t>
        </w:r>
      </w:hyperlink>
      <w:r>
        <w:t xml:space="preserve">.</w:t>
      </w:r>
    </w:p>
    <w:bookmarkEnd w:id="57"/>
    <w:bookmarkStart w:id="59"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w:t>
      </w:r>
      <w:r>
        <w:t xml:space="preserve"> </w:t>
      </w:r>
      <w:hyperlink r:id="rId58">
        <w:r>
          <w:rPr>
            <w:rStyle w:val="Hyperlink"/>
          </w:rPr>
          <w:t xml:space="preserve">https://doi.org/10.1038/s41467-020-18781-2</w:t>
        </w:r>
      </w:hyperlink>
      <w:r>
        <w:t xml:space="preserve">.</w:t>
      </w:r>
    </w:p>
    <w:bookmarkEnd w:id="59"/>
    <w:bookmarkStart w:id="61"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w:t>
      </w:r>
      <w:r>
        <w:t xml:space="preserve"> </w:t>
      </w:r>
      <w:hyperlink r:id="rId60">
        <w:r>
          <w:rPr>
            <w:rStyle w:val="Hyperlink"/>
          </w:rPr>
          <w:t xml:space="preserve">https://doi.org/10.1016/j.jid.2018.12.018</w:t>
        </w:r>
      </w:hyperlink>
      <w:r>
        <w:t xml:space="preserve">.</w:t>
      </w:r>
    </w:p>
    <w:bookmarkEnd w:id="61"/>
    <w:bookmarkStart w:id="63"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w:t>
      </w:r>
      <w:r>
        <w:t xml:space="preserve"> </w:t>
      </w:r>
      <w:hyperlink r:id="rId62">
        <w:r>
          <w:rPr>
            <w:rStyle w:val="Hyperlink"/>
          </w:rPr>
          <w:t xml:space="preserve">https://doi.org/10.1038/mi.2013.90</w:t>
        </w:r>
      </w:hyperlink>
      <w:r>
        <w:t xml:space="preserve">.</w:t>
      </w:r>
    </w:p>
    <w:bookmarkEnd w:id="63"/>
    <w:bookmarkStart w:id="65"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w:t>
      </w:r>
      <w:r>
        <w:t xml:space="preserve"> </w:t>
      </w:r>
      <w:hyperlink r:id="rId64">
        <w:r>
          <w:rPr>
            <w:rStyle w:val="Hyperlink"/>
          </w:rPr>
          <w:t xml:space="preserve">https://doi.org/10.1016/j.jaci.2023.10.027</w:t>
        </w:r>
      </w:hyperlink>
      <w:r>
        <w:t xml:space="preserve">.</w:t>
      </w:r>
    </w:p>
    <w:bookmarkEnd w:id="65"/>
    <w:bookmarkStart w:id="67"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w:t>
      </w:r>
      <w:r>
        <w:t xml:space="preserve"> </w:t>
      </w:r>
      <w:hyperlink r:id="rId66">
        <w:r>
          <w:rPr>
            <w:rStyle w:val="Hyperlink"/>
          </w:rPr>
          <w:t xml:space="preserve">https://doi.org/10.1183/13993003.00732-2019</w:t>
        </w:r>
      </w:hyperlink>
      <w:r>
        <w:t xml:space="preserve">.</w:t>
      </w:r>
    </w:p>
    <w:bookmarkEnd w:id="67"/>
    <w:bookmarkStart w:id="69"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w:t>
      </w:r>
      <w:r>
        <w:t xml:space="preserve"> </w:t>
      </w:r>
      <w:hyperlink r:id="rId68">
        <w:r>
          <w:rPr>
            <w:rStyle w:val="Hyperlink"/>
          </w:rPr>
          <w:t xml:space="preserve">https://doi.org/10.1186/s13059-014-0550-8</w:t>
        </w:r>
      </w:hyperlink>
      <w:r>
        <w:t xml:space="preserve">.</w:t>
      </w:r>
    </w:p>
    <w:bookmarkEnd w:id="69"/>
    <w:bookmarkStart w:id="71"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w:t>
      </w:r>
      <w:r>
        <w:t xml:space="preserve"> </w:t>
      </w:r>
      <w:hyperlink r:id="rId70">
        <w:r>
          <w:rPr>
            <w:rStyle w:val="Hyperlink"/>
          </w:rPr>
          <w:t xml:space="preserve">https://doi.org/10.1093/bioinformatics/bty895</w:t>
        </w:r>
      </w:hyperlink>
      <w:r>
        <w:t xml:space="preserve">.</w:t>
      </w:r>
    </w:p>
    <w:bookmarkEnd w:id="71"/>
    <w:bookmarkStart w:id="73"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w:t>
      </w:r>
      <w:r>
        <w:t xml:space="preserve"> </w:t>
      </w:r>
      <w:hyperlink r:id="rId72">
        <w:r>
          <w:rPr>
            <w:rStyle w:val="Hyperlink"/>
          </w:rPr>
          <w:t xml:space="preserve">https://doi.org/10.1093/nar/gkv007</w:t>
        </w:r>
      </w:hyperlink>
      <w:r>
        <w:t xml:space="preserve">.</w:t>
      </w:r>
    </w:p>
    <w:bookmarkEnd w:id="73"/>
    <w:bookmarkStart w:id="75"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w:t>
      </w:r>
      <w:r>
        <w:t xml:space="preserve"> </w:t>
      </w:r>
      <w:hyperlink r:id="rId74">
        <w:r>
          <w:rPr>
            <w:rStyle w:val="Hyperlink"/>
          </w:rPr>
          <w:t xml:space="preserve">https://doi.org/10.1248/bpbreports.6.6_226</w:t>
        </w:r>
      </w:hyperlink>
      <w:r>
        <w:t xml:space="preserve">.</w:t>
      </w:r>
    </w:p>
    <w:bookmarkEnd w:id="75"/>
    <w:bookmarkStart w:id="77"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w:t>
      </w:r>
      <w:r>
        <w:t xml:space="preserve"> </w:t>
      </w:r>
      <w:hyperlink r:id="rId76">
        <w:r>
          <w:rPr>
            <w:rStyle w:val="Hyperlink"/>
          </w:rPr>
          <w:t xml:space="preserve">https://doi.org/10.1248/bpb.b24-00037</w:t>
        </w:r>
      </w:hyperlink>
      <w:r>
        <w:t xml:space="preserve">.</w:t>
      </w:r>
    </w:p>
    <w:bookmarkEnd w:id="77"/>
    <w:bookmarkStart w:id="79"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w:t>
      </w:r>
      <w:r>
        <w:t xml:space="preserve"> </w:t>
      </w:r>
      <w:hyperlink r:id="rId78">
        <w:r>
          <w:rPr>
            <w:rStyle w:val="Hyperlink"/>
          </w:rPr>
          <w:t xml:space="preserve">https://doi.org/10.18637/jss.v036.i03</w:t>
        </w:r>
      </w:hyperlink>
      <w:r>
        <w:t xml:space="preserve">.</w:t>
      </w:r>
    </w:p>
    <w:bookmarkEnd w:id="79"/>
    <w:bookmarkStart w:id="81"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w:t>
      </w:r>
      <w:r>
        <w:t xml:space="preserve"> </w:t>
      </w:r>
      <w:hyperlink r:id="rId80">
        <w:r>
          <w:rPr>
            <w:rStyle w:val="Hyperlink"/>
          </w:rPr>
          <w:t xml:space="preserve">https://doi.org/10.5351/CSAM.2015.22.6.665</w:t>
        </w:r>
      </w:hyperlink>
      <w:r>
        <w:t xml:space="preserve">.</w:t>
      </w:r>
    </w:p>
    <w:bookmarkEnd w:id="81"/>
    <w:bookmarkStart w:id="83"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w:t>
      </w:r>
      <w:r>
        <w:t xml:space="preserve"> </w:t>
      </w:r>
      <w:hyperlink r:id="rId82">
        <w:r>
          <w:rPr>
            <w:rStyle w:val="Hyperlink"/>
          </w:rPr>
          <w:t xml:space="preserve">https://doi.org/10.18637/jss.v059.i05</w:t>
        </w:r>
      </w:hyperlink>
      <w:r>
        <w:t xml:space="preserve">.</w:t>
      </w:r>
    </w:p>
    <w:bookmarkEnd w:id="83"/>
    <w:bookmarkStart w:id="85" w:name="ref-Aran2017_xCell"/>
    <w:p>
      <w:pPr>
        <w:pStyle w:val="Bibliography"/>
      </w:pPr>
      <w:r>
        <w:t xml:space="preserve">[20]</w:t>
      </w:r>
      <w:r>
        <w:t xml:space="preserve"> </w:t>
      </w:r>
      <w:r>
        <w:t xml:space="preserve">	</w:t>
      </w:r>
      <w:r>
        <w:t xml:space="preserve">Aran D, Hu Z, Butte AJ.</w:t>
      </w:r>
      <w:r>
        <w:t xml:space="preserve"> </w:t>
      </w:r>
      <w:r>
        <w:t xml:space="preserve">xCell</w:t>
      </w:r>
      <w:r>
        <w:t xml:space="preserve">: Digitally portraying the tissue cellular heterogeneity landscape. Genome Biology 2017;18:220.</w:t>
      </w:r>
      <w:r>
        <w:t xml:space="preserve"> </w:t>
      </w:r>
      <w:hyperlink r:id="rId84">
        <w:r>
          <w:rPr>
            <w:rStyle w:val="Hyperlink"/>
          </w:rPr>
          <w:t xml:space="preserve">https://doi.org/10.1186/s13059-017-1349-1</w:t>
        </w:r>
      </w:hyperlink>
      <w:r>
        <w:t xml:space="preserve">.</w:t>
      </w:r>
    </w:p>
    <w:bookmarkEnd w:id="85"/>
    <w:bookmarkStart w:id="87" w:name="ref-Imai2010_StatSci"/>
    <w:p>
      <w:pPr>
        <w:pStyle w:val="Bibliography"/>
      </w:pPr>
      <w:r>
        <w:t xml:space="preserve">[21]</w:t>
      </w:r>
      <w:r>
        <w:t xml:space="preserve"> </w:t>
      </w:r>
      <w:r>
        <w:t xml:space="preserve">	</w:t>
      </w:r>
      <w:r>
        <w:t xml:space="preserve">Imai K, Keele L, Yamamoto T. Identification, inference and sensitivity analysis for causal mediation effects. Statistical Science 2010;25:51–71.</w:t>
      </w:r>
      <w:r>
        <w:t xml:space="preserve"> </w:t>
      </w:r>
      <w:hyperlink r:id="rId86">
        <w:r>
          <w:rPr>
            <w:rStyle w:val="Hyperlink"/>
          </w:rPr>
          <w:t xml:space="preserve">https://doi.org/10.1214/10-STS321</w:t>
        </w:r>
      </w:hyperlink>
      <w:r>
        <w:t xml:space="preserve">.</w:t>
      </w:r>
    </w:p>
    <w:bookmarkEnd w:id="87"/>
    <w:bookmarkStart w:id="89" w:name="ref-Newman2019_CIBERSORTx"/>
    <w:p>
      <w:pPr>
        <w:pStyle w:val="Bibliography"/>
      </w:pPr>
      <w:r>
        <w:t xml:space="preserve">[22]</w:t>
      </w:r>
      <w:r>
        <w:t xml:space="preserve"> </w:t>
      </w:r>
      <w:r>
        <w:t xml:space="preserve">	</w:t>
      </w:r>
      <w:r>
        <w:t xml:space="preserve">Newman AM, Steen CB, Liu CL, Gentles AJ, Chaudhuri AA, Scherer F, et al. Determining cell type abundance and expression from bulk tissues with digital cytometry. Nature Biotechnology 2019;37:773–82.</w:t>
      </w:r>
      <w:r>
        <w:t xml:space="preserve"> </w:t>
      </w:r>
      <w:hyperlink r:id="rId88">
        <w:r>
          <w:rPr>
            <w:rStyle w:val="Hyperlink"/>
          </w:rPr>
          <w:t xml:space="preserve">https://doi.org/10.1038/s41587-019-0114-2</w:t>
        </w:r>
      </w:hyperlink>
      <w:r>
        <w:t xml:space="preserve">.</w:t>
      </w:r>
    </w:p>
    <w:bookmarkEnd w:id="89"/>
    <w:bookmarkStart w:id="91" w:name="ref-Gu2016_ComplexHeatmap"/>
    <w:p>
      <w:pPr>
        <w:pStyle w:val="Bibliography"/>
      </w:pPr>
      <w:r>
        <w:t xml:space="preserve">[23]</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w:t>
      </w:r>
      <w:r>
        <w:t xml:space="preserve"> </w:t>
      </w:r>
      <w:hyperlink r:id="rId90">
        <w:r>
          <w:rPr>
            <w:rStyle w:val="Hyperlink"/>
          </w:rPr>
          <w:t xml:space="preserve">https://doi.org/10.1093/bioinformatics/btw313</w:t>
        </w:r>
      </w:hyperlink>
      <w:r>
        <w:t xml:space="preserve">.</w:t>
      </w:r>
    </w:p>
    <w:bookmarkEnd w:id="91"/>
    <w:bookmarkStart w:id="93" w:name="ref-Travaglini2020_lungatlas"/>
    <w:p>
      <w:pPr>
        <w:pStyle w:val="Bibliography"/>
      </w:pPr>
      <w:r>
        <w:t xml:space="preserve">[24]</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w:t>
      </w:r>
      <w:r>
        <w:t xml:space="preserve"> </w:t>
      </w:r>
      <w:hyperlink r:id="rId92">
        <w:r>
          <w:rPr>
            <w:rStyle w:val="Hyperlink"/>
          </w:rPr>
          <w:t xml:space="preserve">https://doi.org/10.1038/s41586-020-2922-4</w:t>
        </w:r>
      </w:hyperlink>
      <w:r>
        <w:t xml:space="preserve">.</w:t>
      </w:r>
    </w:p>
    <w:bookmarkEnd w:id="93"/>
    <w:bookmarkStart w:id="95" w:name="ref-Bel2014_mepolizumab"/>
    <w:p>
      <w:pPr>
        <w:pStyle w:val="Bibliography"/>
      </w:pPr>
      <w:r>
        <w:t xml:space="preserve">[25]</w:t>
      </w:r>
      <w:r>
        <w:t xml:space="preserve"> </w:t>
      </w:r>
      <w:r>
        <w:t xml:space="preserve">	</w:t>
      </w:r>
      <w:r>
        <w:t xml:space="preserve">Bel EH, Wenzel SE, Thompson PJ, Prazma CM, Keene ON, Yancey SW, et al. Oral glucocorticoid-sparing effect of mepolizumab in eosinophilic asthma. New England Journal of Medicine 2014;371:1189–97.</w:t>
      </w:r>
      <w:r>
        <w:t xml:space="preserve"> </w:t>
      </w:r>
      <w:hyperlink r:id="rId94">
        <w:r>
          <w:rPr>
            <w:rStyle w:val="Hyperlink"/>
          </w:rPr>
          <w:t xml:space="preserve">https://doi.org/10.1056/NEJMoa1403291</w:t>
        </w:r>
      </w:hyperlink>
      <w:r>
        <w:t xml:space="preserve">.</w:t>
      </w:r>
    </w:p>
    <w:bookmarkEnd w:id="95"/>
    <w:bookmarkStart w:id="97" w:name="ref-Bachert2017_mepoCRSwNP"/>
    <w:p>
      <w:pPr>
        <w:pStyle w:val="Bibliography"/>
      </w:pPr>
      <w:r>
        <w:t xml:space="preserve">[26]</w:t>
      </w:r>
      <w:r>
        <w:t xml:space="preserve"> </w:t>
      </w:r>
      <w:r>
        <w:t xml:space="preserve">	</w:t>
      </w:r>
      <w:r>
        <w:t xml:space="preserve">Bachert C, Sousa AR, Lund VJ, Scadding GK, Gevaert P, Nasser S, et al. Reduced need for surgery in severe nasal polyposis with mepolizumab. Journal of Allergy and Clinical Immunology 2017;140:1024–1031.e14.</w:t>
      </w:r>
      <w:r>
        <w:t xml:space="preserve"> </w:t>
      </w:r>
      <w:hyperlink r:id="rId96">
        <w:r>
          <w:rPr>
            <w:rStyle w:val="Hyperlink"/>
          </w:rPr>
          <w:t xml:space="preserve">https://doi.org/10.1016/j.jaci.2017.05.044</w:t>
        </w:r>
      </w:hyperlink>
      <w:r>
        <w:t xml:space="preserve">.</w:t>
      </w:r>
    </w:p>
    <w:bookmarkEnd w:id="97"/>
    <w:bookmarkStart w:id="99" w:name="ref-Hirano2019_EoEbiologic"/>
    <w:p>
      <w:pPr>
        <w:pStyle w:val="Bibliography"/>
      </w:pPr>
      <w:r>
        <w:t xml:space="preserve">[27]</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w:t>
      </w:r>
      <w:r>
        <w:t xml:space="preserve"> </w:t>
      </w:r>
      <w:hyperlink r:id="rId98">
        <w:r>
          <w:rPr>
            <w:rStyle w:val="Hyperlink"/>
          </w:rPr>
          <w:t xml:space="preserve">https://doi.org/10.1053/j.gastro.2018.10.051</w:t>
        </w:r>
      </w:hyperlink>
      <w:r>
        <w:t xml:space="preserve">.</w:t>
      </w:r>
    </w:p>
    <w:bookmarkEnd w:id="99"/>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16/j.bbrc.2025.151733" TargetMode="External" /><Relationship Type="http://schemas.openxmlformats.org/officeDocument/2006/relationships/hyperlink" Id="rId56" Target="https://doi.org/10.1016/j.immuni.2019.03.018" TargetMode="External" /><Relationship Type="http://schemas.openxmlformats.org/officeDocument/2006/relationships/hyperlink" Id="rId96" Target="https://doi.org/10.1016/j.jaci.2017.05.044" TargetMode="External" /><Relationship Type="http://schemas.openxmlformats.org/officeDocument/2006/relationships/hyperlink" Id="rId64" Target="https://doi.org/10.1016/j.jaci.2023.10.027" TargetMode="External" /><Relationship Type="http://schemas.openxmlformats.org/officeDocument/2006/relationships/hyperlink" Id="rId60" Target="https://doi.org/10.1016/j.jid.2018.12.018" TargetMode="External" /><Relationship Type="http://schemas.openxmlformats.org/officeDocument/2006/relationships/hyperlink" Id="rId62" Target="https://doi.org/10.1038/mi.2013.90" TargetMode="External" /><Relationship Type="http://schemas.openxmlformats.org/officeDocument/2006/relationships/hyperlink" Id="rId58" Target="https://doi.org/10.1038/s41467-020-18781-2" TargetMode="External" /><Relationship Type="http://schemas.openxmlformats.org/officeDocument/2006/relationships/hyperlink" Id="rId48" Target="https://doi.org/10.1038/s41580-020-00315-9" TargetMode="External" /><Relationship Type="http://schemas.openxmlformats.org/officeDocument/2006/relationships/hyperlink" Id="rId46" Target="https://doi.org/10.1038/s41580-022-00566-8" TargetMode="External" /><Relationship Type="http://schemas.openxmlformats.org/officeDocument/2006/relationships/hyperlink" Id="rId92" Target="https://doi.org/10.1038/s41586-020-2922-4" TargetMode="External" /><Relationship Type="http://schemas.openxmlformats.org/officeDocument/2006/relationships/hyperlink" Id="rId88" Target="https://doi.org/10.1038/s41587-019-0114-2" TargetMode="External" /><Relationship Type="http://schemas.openxmlformats.org/officeDocument/2006/relationships/hyperlink" Id="rId98" Target="https://doi.org/10.1053/j.gastro.2018.10.051" TargetMode="External" /><Relationship Type="http://schemas.openxmlformats.org/officeDocument/2006/relationships/hyperlink" Id="rId94" Target="https://doi.org/10.1056/NEJMoa1403291" TargetMode="External" /><Relationship Type="http://schemas.openxmlformats.org/officeDocument/2006/relationships/hyperlink" Id="rId90" Target="https://doi.org/10.1093/bioinformatics/btw313" TargetMode="External" /><Relationship Type="http://schemas.openxmlformats.org/officeDocument/2006/relationships/hyperlink" Id="rId70" Target="https://doi.org/10.1093/bioinformatics/bty895" TargetMode="External" /><Relationship Type="http://schemas.openxmlformats.org/officeDocument/2006/relationships/hyperlink" Id="rId72" Target="https://doi.org/10.1093/nar/gkv007" TargetMode="External" /><Relationship Type="http://schemas.openxmlformats.org/officeDocument/2006/relationships/hyperlink" Id="rId52" Target="https://doi.org/10.1101/gad.17446611" TargetMode="External" /><Relationship Type="http://schemas.openxmlformats.org/officeDocument/2006/relationships/hyperlink" Id="rId50" Target="https://doi.org/10.1101/gr.130559.111" TargetMode="External" /><Relationship Type="http://schemas.openxmlformats.org/officeDocument/2006/relationships/hyperlink" Id="rId66" Target="https://doi.org/10.1183/13993003.00732-2019" TargetMode="External" /><Relationship Type="http://schemas.openxmlformats.org/officeDocument/2006/relationships/hyperlink" Id="rId68" Target="https://doi.org/10.1186/s13059-014-0550-8" TargetMode="External" /><Relationship Type="http://schemas.openxmlformats.org/officeDocument/2006/relationships/hyperlink" Id="rId84" Target="https://doi.org/10.1186/s13059-017-1349-1" TargetMode="External" /><Relationship Type="http://schemas.openxmlformats.org/officeDocument/2006/relationships/hyperlink" Id="rId86" Target="https://doi.org/10.1214/10-STS321" TargetMode="External" /><Relationship Type="http://schemas.openxmlformats.org/officeDocument/2006/relationships/hyperlink" Id="rId76" Target="https://doi.org/10.1248/bpb.b24-00037" TargetMode="External" /><Relationship Type="http://schemas.openxmlformats.org/officeDocument/2006/relationships/hyperlink" Id="rId74" Target="https://doi.org/10.1248/bpbreports.6.6_226" TargetMode="External" /><Relationship Type="http://schemas.openxmlformats.org/officeDocument/2006/relationships/hyperlink" Id="rId78" Target="https://doi.org/10.18637/jss.v036.i03" TargetMode="External" /><Relationship Type="http://schemas.openxmlformats.org/officeDocument/2006/relationships/hyperlink" Id="rId82" Target="https://doi.org/10.18637/jss.v059.i05" TargetMode="External" /><Relationship Type="http://schemas.openxmlformats.org/officeDocument/2006/relationships/hyperlink" Id="rId80"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16/j.bbrc.2025.151733" TargetMode="External" /><Relationship Type="http://schemas.openxmlformats.org/officeDocument/2006/relationships/hyperlink" Id="rId56" Target="https://doi.org/10.1016/j.immuni.2019.03.018" TargetMode="External" /><Relationship Type="http://schemas.openxmlformats.org/officeDocument/2006/relationships/hyperlink" Id="rId96" Target="https://doi.org/10.1016/j.jaci.2017.05.044" TargetMode="External" /><Relationship Type="http://schemas.openxmlformats.org/officeDocument/2006/relationships/hyperlink" Id="rId64" Target="https://doi.org/10.1016/j.jaci.2023.10.027" TargetMode="External" /><Relationship Type="http://schemas.openxmlformats.org/officeDocument/2006/relationships/hyperlink" Id="rId60" Target="https://doi.org/10.1016/j.jid.2018.12.018" TargetMode="External" /><Relationship Type="http://schemas.openxmlformats.org/officeDocument/2006/relationships/hyperlink" Id="rId62" Target="https://doi.org/10.1038/mi.2013.90" TargetMode="External" /><Relationship Type="http://schemas.openxmlformats.org/officeDocument/2006/relationships/hyperlink" Id="rId58" Target="https://doi.org/10.1038/s41467-020-18781-2" TargetMode="External" /><Relationship Type="http://schemas.openxmlformats.org/officeDocument/2006/relationships/hyperlink" Id="rId48" Target="https://doi.org/10.1038/s41580-020-00315-9" TargetMode="External" /><Relationship Type="http://schemas.openxmlformats.org/officeDocument/2006/relationships/hyperlink" Id="rId46" Target="https://doi.org/10.1038/s41580-022-00566-8" TargetMode="External" /><Relationship Type="http://schemas.openxmlformats.org/officeDocument/2006/relationships/hyperlink" Id="rId92" Target="https://doi.org/10.1038/s41586-020-2922-4" TargetMode="External" /><Relationship Type="http://schemas.openxmlformats.org/officeDocument/2006/relationships/hyperlink" Id="rId88" Target="https://doi.org/10.1038/s41587-019-0114-2" TargetMode="External" /><Relationship Type="http://schemas.openxmlformats.org/officeDocument/2006/relationships/hyperlink" Id="rId98" Target="https://doi.org/10.1053/j.gastro.2018.10.051" TargetMode="External" /><Relationship Type="http://schemas.openxmlformats.org/officeDocument/2006/relationships/hyperlink" Id="rId94" Target="https://doi.org/10.1056/NEJMoa1403291" TargetMode="External" /><Relationship Type="http://schemas.openxmlformats.org/officeDocument/2006/relationships/hyperlink" Id="rId90" Target="https://doi.org/10.1093/bioinformatics/btw313" TargetMode="External" /><Relationship Type="http://schemas.openxmlformats.org/officeDocument/2006/relationships/hyperlink" Id="rId70" Target="https://doi.org/10.1093/bioinformatics/bty895" TargetMode="External" /><Relationship Type="http://schemas.openxmlformats.org/officeDocument/2006/relationships/hyperlink" Id="rId72" Target="https://doi.org/10.1093/nar/gkv007" TargetMode="External" /><Relationship Type="http://schemas.openxmlformats.org/officeDocument/2006/relationships/hyperlink" Id="rId52" Target="https://doi.org/10.1101/gad.17446611" TargetMode="External" /><Relationship Type="http://schemas.openxmlformats.org/officeDocument/2006/relationships/hyperlink" Id="rId50" Target="https://doi.org/10.1101/gr.130559.111" TargetMode="External" /><Relationship Type="http://schemas.openxmlformats.org/officeDocument/2006/relationships/hyperlink" Id="rId66" Target="https://doi.org/10.1183/13993003.00732-2019" TargetMode="External" /><Relationship Type="http://schemas.openxmlformats.org/officeDocument/2006/relationships/hyperlink" Id="rId68" Target="https://doi.org/10.1186/s13059-014-0550-8" TargetMode="External" /><Relationship Type="http://schemas.openxmlformats.org/officeDocument/2006/relationships/hyperlink" Id="rId84" Target="https://doi.org/10.1186/s13059-017-1349-1" TargetMode="External" /><Relationship Type="http://schemas.openxmlformats.org/officeDocument/2006/relationships/hyperlink" Id="rId86" Target="https://doi.org/10.1214/10-STS321" TargetMode="External" /><Relationship Type="http://schemas.openxmlformats.org/officeDocument/2006/relationships/hyperlink" Id="rId76" Target="https://doi.org/10.1248/bpb.b24-00037" TargetMode="External" /><Relationship Type="http://schemas.openxmlformats.org/officeDocument/2006/relationships/hyperlink" Id="rId74" Target="https://doi.org/10.1248/bpbreports.6.6_226" TargetMode="External" /><Relationship Type="http://schemas.openxmlformats.org/officeDocument/2006/relationships/hyperlink" Id="rId78" Target="https://doi.org/10.18637/jss.v036.i03" TargetMode="External" /><Relationship Type="http://schemas.openxmlformats.org/officeDocument/2006/relationships/hyperlink" Id="rId82" Target="https://doi.org/10.18637/jss.v059.i05" TargetMode="External" /><Relationship Type="http://schemas.openxmlformats.org/officeDocument/2006/relationships/hyperlink" Id="rId80"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reusable cell-composition-adjusted re-analysis pipeline for interpreting bulk-tissue null results in low-abundance lncRNA studies: IDI2-AS1 / IL5 as a worked example across type-2 allergic diseases</dc:title>
  <dc:creator>Hidenori Tani</dc:creator>
  <cp:keywords/>
  <dcterms:created xsi:type="dcterms:W3CDTF">2026-06-17T05:16:26Z</dcterms:created>
  <dcterms:modified xsi:type="dcterms:W3CDTF">2026-06-17T05:16:26Z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elsevier-vancouver.csl</vt:lpwstr>
  </property>
  <property fmtid="{D5CDD505-2E9C-101B-9397-08002B2CF9AE}" pid="4" name="link-citations">
    <vt:lpwstr>True</vt:lpwstr>
  </property>
</Properties>
</file>