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ca25a95bd13030b748dda5a515d41a54ed115b6"/>
    <w:p>
      <w:pPr>
        <w:pStyle w:val="Heading1"/>
      </w:pPr>
      <w:r>
        <w:t xml:space="preserve">Table 1. Five RNA AI representation classes benchmarked</w:t>
      </w:r>
    </w:p>
    <w:p>
      <w:pPr>
        <w:pStyle w:val="FirstParagraph"/>
      </w:pPr>
      <w:r>
        <w:t xml:space="preserve">Two classes are evaluated directly with their published weights; three are</w:t>
      </w:r>
      <w:r>
        <w:t xml:space="preserve"> </w:t>
      </w:r>
      <w:r>
        <w:t xml:space="preserve">approximated by CPU-feasible proxies that preserve the representational class</w:t>
      </w:r>
      <w:r>
        <w:t xml:space="preserve"> </w:t>
      </w:r>
      <w:r>
        <w:t xml:space="preserve">without reproducing the full-parameter inference. The proxy choice is</w:t>
      </w:r>
      <w:r>
        <w:t xml:space="preserve"> </w:t>
      </w:r>
      <w:r>
        <w:t xml:space="preserve">discussed in Box 1 of the main text; full-weight GPU replication for the</w:t>
      </w:r>
      <w:r>
        <w:t xml:space="preserve"> </w:t>
      </w:r>
      <w:r>
        <w:t xml:space="preserve">proxied classes is provided in</w:t>
      </w:r>
      <w:r>
        <w:t xml:space="preserve"> </w:t>
      </w:r>
      <w:r>
        <w:rPr>
          <w:rStyle w:val="VerbatimChar"/>
        </w:rPr>
        <w:t xml:space="preserve">benchmark/colab/*.ipynb</w:t>
      </w:r>
      <w:r>
        <w:t xml:space="preserve"> </w:t>
      </w:r>
      <w:r>
        <w:t xml:space="preserve">and will be reported</w:t>
      </w:r>
      <w:r>
        <w:t xml:space="preserve"> </w:t>
      </w:r>
      <w:r>
        <w:t xml:space="preserve">separately.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Representation class</w:t>
            </w:r>
          </w:p>
        </w:tc>
        <w:tc>
          <w:tcPr/>
          <w:p>
            <w:pPr>
              <w:pStyle w:val="Compact"/>
            </w:pPr>
            <w:r>
              <w:t xml:space="preserve">Direct model (published)</w:t>
            </w:r>
          </w:p>
        </w:tc>
        <w:tc>
          <w:tcPr/>
          <w:p>
            <w:pPr>
              <w:pStyle w:val="Compact"/>
            </w:pPr>
            <w:r>
              <w:t xml:space="preserve">CPU-feasible implementation</w:t>
            </w:r>
          </w:p>
        </w:tc>
        <w:tc>
          <w:tcPr/>
          <w:p>
            <w:pPr>
              <w:pStyle w:val="Compact"/>
            </w:pPr>
            <w:r>
              <w:t xml:space="preserve">Output dim</w:t>
            </w:r>
          </w:p>
        </w:tc>
        <w:tc>
          <w:tcPr/>
          <w:p>
            <w:pPr>
              <w:pStyle w:val="Compact"/>
            </w:pPr>
            <w:r>
              <w:t xml:space="preserve">Licence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RNA-FM</w:t>
            </w:r>
          </w:p>
        </w:tc>
        <w:tc>
          <w:tcPr/>
          <w:p>
            <w:pPr>
              <w:pStyle w:val="Compact"/>
            </w:pPr>
            <w:r>
              <w:t xml:space="preserve">RNA-FM (100 M params, BERT-like, RNAcentral)</w:t>
            </w:r>
          </w:p>
        </w:tc>
        <w:tc>
          <w:tcPr/>
          <w:p>
            <w:pPr>
              <w:pStyle w:val="Compact"/>
            </w:pPr>
            <w:r>
              <w:t xml:space="preserve">same —</w:t>
            </w:r>
            <w:r>
              <w:t xml:space="preserve"> </w:t>
            </w:r>
            <w:r>
              <w:rPr>
                <w:rStyle w:val="VerbatimChar"/>
              </w:rPr>
              <w:t xml:space="preserve">multimolecule/rnafm</w:t>
            </w:r>
          </w:p>
        </w:tc>
        <w:tc>
          <w:tcPr/>
          <w:p>
            <w:pPr>
              <w:pStyle w:val="Compact"/>
            </w:pPr>
            <w:r>
              <w:t xml:space="preserve">640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Chen et al. 2022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RiNALMo-class</w:t>
            </w:r>
          </w:p>
        </w:tc>
        <w:tc>
          <w:tcPr/>
          <w:p>
            <w:pPr>
              <w:pStyle w:val="Compact"/>
            </w:pPr>
            <w:r>
              <w:t xml:space="preserve">RiNALMo 650 M (33 layers, hidden 1,280)</w:t>
            </w:r>
          </w:p>
        </w:tc>
        <w:tc>
          <w:tcPr/>
          <w:p>
            <w:pPr>
              <w:pStyle w:val="Compact"/>
            </w:pPr>
            <w:r>
              <w:t xml:space="preserve">random-initialised shallow 1-D CNN (3 conv layers, 256-dim mean-pooled, seed 42)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Penić et al. 2025</w:t>
            </w:r>
            <w:r>
              <w:t xml:space="preserve"> </w:t>
            </w:r>
            <w:r>
              <w:rPr>
                <w:i/>
                <w:iCs/>
              </w:rPr>
              <w:t xml:space="preserve">Nat. Commun.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Evo-class</w:t>
            </w:r>
          </w:p>
        </w:tc>
        <w:tc>
          <w:tcPr/>
          <w:p>
            <w:pPr>
              <w:pStyle w:val="Compact"/>
            </w:pPr>
            <w:r>
              <w:t xml:space="preserve">Evo 7 B (StripedHyena, 2.7 M prokaryotic genomes)</w:t>
            </w:r>
          </w:p>
        </w:tc>
        <w:tc>
          <w:tcPr/>
          <w:p>
            <w:pPr>
              <w:pStyle w:val="Compact"/>
            </w:pPr>
            <w:r>
              <w:t xml:space="preserve">ERNIE-RNA (</w:t>
            </w:r>
            <w:r>
              <w:rPr>
                <w:rStyle w:val="VerbatimChar"/>
              </w:rPr>
              <w:t xml:space="preserve">multimolecule/ernierna</w:t>
            </w:r>
            <w:r>
              <w:t xml:space="preserve">, 86 M)</w:t>
            </w:r>
          </w:p>
        </w:tc>
        <w:tc>
          <w:tcPr/>
          <w:p>
            <w:pPr>
              <w:pStyle w:val="Compac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Apache-2.0 / —</w:t>
            </w:r>
          </w:p>
        </w:tc>
        <w:tc>
          <w:tcPr/>
          <w:p>
            <w:pPr>
              <w:pStyle w:val="Compact"/>
            </w:pPr>
            <w:r>
              <w:t xml:space="preserve">Nguyen et al. 2024</w:t>
            </w:r>
            <w:r>
              <w:t xml:space="preserve"> </w:t>
            </w:r>
            <w:r>
              <w:rPr>
                <w:i/>
                <w:iCs/>
              </w:rPr>
              <w:t xml:space="preserve">Science</w:t>
            </w:r>
            <w:r>
              <w:t xml:space="preserve"> </w:t>
            </w:r>
            <w:r>
              <w:t xml:space="preserve">/ Yin et al. 2025</w:t>
            </w:r>
            <w:r>
              <w:t xml:space="preserve"> </w:t>
            </w:r>
            <w:r>
              <w:rPr>
                <w:i/>
                <w:iCs/>
              </w:rPr>
              <w:t xml:space="preserve">Nat. Commun.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RhoFold+-class</w:t>
            </w:r>
          </w:p>
        </w:tc>
        <w:tc>
          <w:tcPr/>
          <w:p>
            <w:pPr>
              <w:pStyle w:val="Compact"/>
            </w:pPr>
            <w:r>
              <w:t xml:space="preserve">RhoFold+ (~80 M, 3-D structure predictor)</w:t>
            </w:r>
          </w:p>
        </w:tc>
        <w:tc>
          <w:tcPr/>
          <w:p>
            <w:pPr>
              <w:pStyle w:val="Compact"/>
            </w:pPr>
            <w:r>
              <w:t xml:space="preserve">ViennaRNA 2-D thermodynamic descriptors (9-dim)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Academic / ViennaRNA GPL</w:t>
            </w:r>
          </w:p>
        </w:tc>
        <w:tc>
          <w:tcPr/>
          <w:p>
            <w:pPr>
              <w:pStyle w:val="Compact"/>
            </w:pPr>
            <w:r>
              <w:t xml:space="preserve">Shen et al. 2024</w:t>
            </w:r>
            <w:r>
              <w:t xml:space="preserve"> </w:t>
            </w:r>
            <w:r>
              <w:rPr>
                <w:i/>
                <w:iCs/>
              </w:rPr>
              <w:t xml:space="preserve">Nat. Methods</w:t>
            </w:r>
            <w:r>
              <w:t xml:space="preserve"> </w:t>
            </w:r>
            <w:r>
              <w:t xml:space="preserve">/ Lorenz et al. 2011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DeepLncLoc</w:t>
            </w:r>
          </w:p>
        </w:tc>
        <w:tc>
          <w:tcPr/>
          <w:p>
            <w:pPr>
              <w:pStyle w:val="Compact"/>
            </w:pPr>
            <w:r>
              <w:t xml:space="preserve">DeepLncLoc (CNN-LSTM, 5-class localisation)</w:t>
            </w:r>
          </w:p>
        </w:tc>
        <w:tc>
          <w:tcPr/>
          <w:p>
            <w:pPr>
              <w:pStyle w:val="Compact"/>
            </w:pPr>
            <w:r>
              <w:t xml:space="preserve">same — 3-mer composition head (published implementation)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Academic / —</w:t>
            </w:r>
          </w:p>
        </w:tc>
        <w:tc>
          <w:tcPr/>
          <w:p>
            <w:pPr>
              <w:pStyle w:val="Compact"/>
            </w:pPr>
            <w:r>
              <w:t xml:space="preserve">Zeng et al. 2022</w:t>
            </w:r>
            <w:r>
              <w:t xml:space="preserve"> </w:t>
            </w:r>
            <w:r>
              <w:rPr>
                <w:i/>
                <w:iCs/>
              </w:rPr>
              <w:t xml:space="preserve">Brief. Bioinform.</w:t>
            </w:r>
          </w:p>
        </w:tc>
      </w:tr>
    </w:tbl>
    <w:bookmarkStart w:id="9" w:name="rationale-for-the-proxy-choices"/>
    <w:p>
      <w:pPr>
        <w:pStyle w:val="Heading2"/>
      </w:pPr>
      <w:r>
        <w:t xml:space="preserve">Rationale for the proxy choices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RiNALMo → random shallow CNN</w:t>
      </w:r>
      <w:r>
        <w:t xml:space="preserve">: full-parameter RiNALMo 650 M is not CPU-tractable (fp16 ≳ 10 GB activations; ~5–10 min per sequence → ~20–40 h for 256 sequences). A randomly-initialised 3-layer 1-D CNN (256-dim mean-pooled output, fixed seed) retains the neural-architecture inductive bias — learned-shape non-linear local filters — while being CPU-feasible (&lt;1 s total). Crucially, it is</w:t>
      </w:r>
      <w:r>
        <w:t xml:space="preserve"> </w:t>
      </w:r>
      <w:r>
        <w:rPr>
          <w:i/>
          <w:iCs/>
        </w:rPr>
        <w:t xml:space="preserve">architecturally distinct from a k-mer count</w:t>
      </w:r>
      <w:r>
        <w:t xml:space="preserve"> </w:t>
      </w:r>
      <w:r>
        <w:t xml:space="preserve">(non-linear activations, position-dependent filters), so the</w:t>
      </w:r>
      <w:r>
        <w:t xml:space="preserve"> </w:t>
      </w:r>
      <w:r>
        <w:t xml:space="preserve">“all representations match the k-mer baseline”</w:t>
      </w:r>
      <w:r>
        <w:t xml:space="preserve"> </w:t>
      </w:r>
      <w:r>
        <w:t xml:space="preserve">observation remains informative rather than tautological. Random-feature baselines (Rahimi &amp; Recht, NeurIPS 2007) establish the principled comparator role.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Evo 7 B → ERNIE-RNA</w:t>
      </w:r>
      <w:r>
        <w:t xml:space="preserve">: Evo 7 B bf16 requires ~14 GB; StripedHyena depends on CUDA kernels and is not verified on macOS MPS/CPU. ERNIE-RNA (Yin et al. 2025, 86 M) runs on CPU at 5–15 s per sequence and represents the</w:t>
      </w:r>
      <w:r>
        <w:t xml:space="preserve"> </w:t>
      </w:r>
      <w:r>
        <w:t xml:space="preserve">“post-2023 RNA foundation model”</w:t>
      </w:r>
      <w:r>
        <w:t xml:space="preserve"> </w:t>
      </w:r>
      <w:r>
        <w:t xml:space="preserve">generation. Nucleotide Transformer v2 (50 M) was excluded due to transformers 5.x API breakage.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RhoFold+ → ViennaRNA 2-D descriptors</w:t>
      </w:r>
      <w:r>
        <w:t xml:space="preserve">: RhoFold+ 3-D structure prediction takes minutes per sequence and is CPU-infeasible. The nine ViennaRNA descriptors (MFE, mean pair probability, loop statistics, etc.) capture secondary-structure information at much coarser resolution than the RhoFold+ embedding, and the resulting performance should be read as a lower bound on the structure-aware representation class.</w:t>
      </w:r>
    </w:p>
    <w:bookmarkEnd w:id="9"/>
    <w:bookmarkStart w:id="10" w:name="scope-of-the-comparison"/>
    <w:p>
      <w:pPr>
        <w:pStyle w:val="Heading2"/>
      </w:pPr>
      <w:r>
        <w:t xml:space="preserve">Scope of the comparison</w:t>
      </w:r>
    </w:p>
    <w:p>
      <w:pPr>
        <w:pStyle w:val="Compact"/>
        <w:numPr>
          <w:ilvl w:val="0"/>
          <w:numId w:val="1002"/>
        </w:numPr>
      </w:pPr>
      <w:r>
        <w:t xml:space="preserve">Representation classes covered: sequence-only foundation (RNA-FM), neural-feature extractor (shallow CNN as RiNALMo proxy), post-2023 foundation (ERNIE-RNA as Evo proxy), 2-D thermodynamic structure (ViennaRNA as RhoFold+ proxy), localisation-focused published model (DeepLncLoc).</w:t>
      </w:r>
    </w:p>
    <w:p>
      <w:pPr>
        <w:pStyle w:val="Compact"/>
        <w:numPr>
          <w:ilvl w:val="0"/>
          <w:numId w:val="1002"/>
        </w:numPr>
      </w:pPr>
      <w:r>
        <w:t xml:space="preserve">Parameter spectrum (where applicable): 0 trainable parameters (ViennaRNA, shallow CNN) through 86 M (ERNIE-RNA). The intended 100 M–7 B spectrum for the full-weight comparison is the subject of the GPU replication under</w:t>
      </w:r>
      <w:r>
        <w:t xml:space="preserve"> </w:t>
      </w:r>
      <w:r>
        <w:rPr>
          <w:rStyle w:val="VerbatimChar"/>
        </w:rPr>
        <w:t xml:space="preserve">benchmark/colab/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All implementations rely on public weights or open-source libraries and are reproducible via</w:t>
      </w:r>
      <w:r>
        <w:t xml:space="preserve"> </w:t>
      </w:r>
      <w:r>
        <w:rPr>
          <w:rStyle w:val="VerbatimChar"/>
        </w:rPr>
        <w:t xml:space="preserve">reproduce.sh</w:t>
      </w:r>
      <w:r>
        <w:t xml:space="preserve">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2026-04-22T01:06:13Z</dcterms:created>
  <dcterms:modified xsi:type="dcterms:W3CDTF">2026-04-22T01:06:13Z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