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63d66b825efd02612e7a0f3ba34428fae09e07"/>
    <w:p>
      <w:pPr>
        <w:pStyle w:val="Heading1"/>
      </w:pPr>
      <w:r>
        <w:t xml:space="preserve">Table 2. Best-performing representation-classifier combination per evaluation task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benchmark/results/metrics_summary.csv</w:t>
      </w:r>
      <w:r>
        <w:t xml:space="preserve"> </w:t>
      </w:r>
      <w:r>
        <w:t xml:space="preserve">(Phase 2, CPU-proxy run).</w:t>
      </w:r>
      <w:r>
        <w:t xml:space="preserve"> </w:t>
      </w:r>
      <w:r>
        <w:rPr>
          <w:b/>
          <w:bCs/>
        </w:rPr>
        <w:t xml:space="preserve">Test set</w:t>
      </w:r>
      <w:r>
        <w:t xml:space="preserve">: 256 lncRNAs (116 classifiable: stable = 40, unstable = 76; full 256 used for continuous regression).</w:t>
      </w:r>
      <w:r>
        <w:t xml:space="preserve"> </w:t>
      </w:r>
      <w:r>
        <w:rPr>
          <w:b/>
          <w:bCs/>
        </w:rPr>
        <w:t xml:space="preserve">CV</w:t>
      </w:r>
      <w:r>
        <w:t xml:space="preserve">: gene-disjoint 5-fold stratified (primary) + leave-one-cell-out (LOCO, diagnostic).</w:t>
      </w:r>
      <w:r>
        <w:t xml:space="preserve"> </w:t>
      </w:r>
      <w:r>
        <w:rPr>
          <w:b/>
          <w:bCs/>
        </w:rPr>
        <w:t xml:space="preserve">Representations</w:t>
      </w:r>
      <w:r>
        <w:t xml:space="preserve">: RNA-FM and DeepLncLoc directly evaluated; RiNALMo, Evo and RhoFold+ through CPU-feasible proxies (random shallow 1-D CNN / ERNIE-RNA / ViennaRNA descriptors; see Box 1 and Table 1).</w:t>
      </w:r>
    </w:p>
    <w:bookmarkStart w:id="9" w:name="classification-binary-stable-vs-unstable"/>
    <w:p>
      <w:pPr>
        <w:pStyle w:val="Heading2"/>
      </w:pPr>
      <w:r>
        <w:t xml:space="preserve">Classification (binary stable vs unstable)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Best combination</w:t>
            </w:r>
          </w:p>
        </w:tc>
        <w:tc>
          <w:tcPr/>
          <w:p>
            <w:pPr>
              <w:pStyle w:val="Compact"/>
            </w:pPr>
            <w:r>
              <w:t xml:space="preserve">5-fold (mean ± SD)</w:t>
            </w:r>
          </w:p>
        </w:tc>
        <w:tc>
          <w:tcPr/>
          <w:p>
            <w:pPr>
              <w:pStyle w:val="Compact"/>
            </w:pPr>
            <w:r>
              <w:t xml:space="preserve">LOCO (mean ± SD)</w:t>
            </w:r>
          </w:p>
        </w:tc>
        <w:tc>
          <w:tcPr/>
          <w:p>
            <w:pPr>
              <w:pStyle w:val="Compact"/>
            </w:pPr>
            <w:r>
              <w:t xml:space="preserve">Runner-up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RiNALMo proxy (shallow CNN) + MLP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0.694 ± 0.145</w:t>
            </w:r>
          </w:p>
        </w:tc>
        <w:tc>
          <w:tcPr/>
          <w:p>
            <w:pPr>
              <w:pStyle w:val="Compact"/>
            </w:pPr>
            <w:r>
              <w:t xml:space="preserve">0.672 ± 0.304</w:t>
            </w:r>
          </w:p>
        </w:tc>
        <w:tc>
          <w:tcPr/>
          <w:p>
            <w:pPr>
              <w:pStyle w:val="Compact"/>
            </w:pPr>
            <w:r>
              <w:t xml:space="preserve">DeepLncLoc MLP 0.690 ± 0.152</w:t>
            </w:r>
          </w:p>
        </w:tc>
        <w:tc>
          <w:tcPr/>
          <w:p>
            <w:pPr>
              <w:pStyle w:val="Compact"/>
            </w:pPr>
            <w:r>
              <w:t xml:space="preserve">Four leading MLP combinations (RiNALMo proxy / DeepLncLoc / RNA-FM / Evo proxy) fall within ~1 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RNA-FM + LogReg</w:t>
            </w:r>
          </w:p>
        </w:tc>
        <w:tc>
          <w:tcPr/>
          <w:p>
            <w:pPr>
              <w:pStyle w:val="Compact"/>
            </w:pPr>
            <w:r>
              <w:t xml:space="preserve">0.428 ± 0.168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RhoFold+ proxy LogReg 0.412 ± 0.116</w:t>
            </w:r>
          </w:p>
        </w:tc>
        <w:tc>
          <w:tcPr/>
          <w:p>
            <w:pPr>
              <w:pStyle w:val="Compact"/>
            </w:pPr>
            <w:r>
              <w:t xml:space="preserve">Pronounced class-imbalance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DeepLncLoc + MLP</w:t>
            </w:r>
          </w:p>
        </w:tc>
        <w:tc>
          <w:tcPr/>
          <w:p>
            <w:pPr>
              <w:pStyle w:val="Compact"/>
            </w:pPr>
            <w:r>
              <w:t xml:space="preserve">0.234 ± 0.228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RNA-FM LogReg 0.194 ± 0.159</w:t>
            </w:r>
          </w:p>
        </w:tc>
        <w:tc>
          <w:tcPr/>
          <w:p>
            <w:pPr>
              <w:pStyle w:val="Compact"/>
            </w:pPr>
            <w:r>
              <w:t xml:space="preserve">Overall MCC remains low; task is hard</w:t>
            </w:r>
          </w:p>
        </w:tc>
      </w:tr>
    </w:tbl>
    <w:bookmarkEnd w:id="9"/>
    <w:bookmarkStart w:id="10" w:name="regression-log₂-half-life-hours"/>
    <w:p>
      <w:pPr>
        <w:pStyle w:val="Heading2"/>
      </w:pPr>
      <w:r>
        <w:t xml:space="preserve">Regression (log₂ half-life, hours)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Best combination</w:t>
            </w:r>
          </w:p>
        </w:tc>
        <w:tc>
          <w:tcPr/>
          <w:p>
            <w:pPr>
              <w:pStyle w:val="Compact"/>
            </w:pPr>
            <w:r>
              <w:t xml:space="preserve">5-fold (mean ± SD)</w:t>
            </w:r>
          </w:p>
        </w:tc>
        <w:tc>
          <w:tcPr/>
          <w:p>
            <w:pPr>
              <w:pStyle w:val="Compact"/>
            </w:pPr>
            <w:r>
              <w:t xml:space="preserve">Runner-up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DeepLncLoc + MLP</w:t>
            </w:r>
          </w:p>
        </w:tc>
        <w:tc>
          <w:tcPr/>
          <w:p>
            <w:pPr>
              <w:pStyle w:val="Compact"/>
            </w:pPr>
            <w:r>
              <w:t xml:space="preserve">0.186 ± 0.087</w:t>
            </w:r>
          </w:p>
        </w:tc>
        <w:tc>
          <w:tcPr/>
          <w:p>
            <w:pPr>
              <w:pStyle w:val="Compact"/>
            </w:pPr>
            <w:r>
              <w:t xml:space="preserve">RiNALMo proxy MLP 0.174 ± 0.120</w:t>
            </w:r>
          </w:p>
        </w:tc>
        <w:tc>
          <w:tcPr/>
          <w:p>
            <w:pPr>
              <w:pStyle w:val="Compact"/>
            </w:pPr>
            <w:r>
              <w:t xml:space="preserve">All representations near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RNA-FM + MLP</w:t>
            </w:r>
          </w:p>
        </w:tc>
        <w:tc>
          <w:tcPr/>
          <w:p>
            <w:pPr>
              <w:pStyle w:val="Compact"/>
            </w:pPr>
            <w:r>
              <w:t xml:space="preserve">0.181 ± 0.102</w:t>
            </w:r>
          </w:p>
        </w:tc>
        <w:tc>
          <w:tcPr/>
          <w:p>
            <w:pPr>
              <w:pStyle w:val="Compact"/>
            </w:pPr>
            <w:r>
              <w:t xml:space="preserve">RiNALMo proxy MLP 0.149 ± 0.119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(log₂ h)</w:t>
            </w:r>
          </w:p>
        </w:tc>
        <w:tc>
          <w:tcPr/>
          <w:p>
            <w:pPr>
              <w:pStyle w:val="Compact"/>
            </w:pPr>
            <w:r>
              <w:t xml:space="preserve">DeepLncLoc + MLP</w:t>
            </w:r>
          </w:p>
        </w:tc>
        <w:tc>
          <w:tcPr/>
          <w:p>
            <w:pPr>
              <w:pStyle w:val="Compact"/>
            </w:pPr>
            <w:r>
              <w:t xml:space="preserve">1.018 ± 0.092</w:t>
            </w:r>
          </w:p>
        </w:tc>
        <w:tc>
          <w:tcPr/>
          <w:p>
            <w:pPr>
              <w:pStyle w:val="Compact"/>
            </w:pPr>
            <w:r>
              <w:t xml:space="preserve">RNA-FM MLP 1.025 ± 0.093</w:t>
            </w:r>
          </w:p>
        </w:tc>
        <w:tc>
          <w:tcPr/>
          <w:p>
            <w:pPr>
              <w:pStyle w:val="Compact"/>
            </w:pPr>
            <w:r>
              <w:t xml:space="preserve">log₂(h)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 (LOCO)</w:t>
            </w:r>
          </w:p>
        </w:tc>
        <w:tc>
          <w:tcPr/>
          <w:p>
            <w:pPr>
              <w:pStyle w:val="Compact"/>
            </w:pPr>
            <w:r>
              <w:t xml:space="preserve">RNA-FM + Ridge</w:t>
            </w:r>
          </w:p>
        </w:tc>
        <w:tc>
          <w:tcPr/>
          <w:p>
            <w:pPr>
              <w:pStyle w:val="Compact"/>
            </w:pPr>
            <w:r>
              <w:t xml:space="preserve">0.165 ± 0.381</w:t>
            </w:r>
          </w:p>
        </w:tc>
        <w:tc>
          <w:tcPr/>
          <w:p>
            <w:pPr>
              <w:pStyle w:val="Compact"/>
            </w:pPr>
            <w:r>
              <w:t xml:space="preserve">Evo proxy Ridge 0.159 ± 0.487</w:t>
            </w:r>
          </w:p>
        </w:tc>
        <w:tc>
          <w:tcPr/>
          <w:p>
            <w:pPr>
              <w:pStyle w:val="Compact"/>
            </w:pPr>
            <w:r>
              <w:t xml:space="preserve">Huge SD from small per-cell N (LOCO diagnostic only)</w:t>
            </w:r>
          </w:p>
        </w:tc>
      </w:tr>
    </w:tbl>
    <w:bookmarkEnd w:id="10"/>
    <w:bookmarkStart w:id="11" w:name="reading-the-ranking"/>
    <w:p>
      <w:pPr>
        <w:pStyle w:val="Heading2"/>
      </w:pPr>
      <w:r>
        <w:t xml:space="preserve">Reading the ranking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AUROC spread</w:t>
      </w:r>
      <w:r>
        <w:t xml:space="preserve"> </w:t>
      </w:r>
      <w:r>
        <w:t xml:space="preserve">across the five representation × three classifier combinations is 0.299 (0.396 RhoFold+ proxy MLP → 0.694 RiNALMo proxy MLP); binary-classification diversification is sufficient for further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representation’s mean AUROC exceeds 0.70</w:t>
      </w:r>
      <w:r>
        <w:t xml:space="preserve"> </w:t>
      </w:r>
      <w:r>
        <w:t xml:space="preserve">under gene-disjoint 5-fold stratified CV; per-fold variance is 0.08–0.15 and bootstrap 95% CIs overlap across the four leading combinations, so the ranking should be read as approximate.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randomly-initialised shallow 1-D CNN (used as the RiNALMo proxy) matches the directly-evaluated RNA-FM 640-dim embedding within CV variance</w:t>
      </w:r>
      <w:r>
        <w:t xml:space="preserve">, and a classical 3-mer composition baseline (delivered through the DeepLncLoc CPU head) is similarly close — consistent with the benchmark’s central reading that representational class, rather than pretraining scale per se, sets the current ceiling under the CPU-proxy conditions tested.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 regression is near chance for every representation</w:t>
      </w:r>
      <w:r>
        <w:t xml:space="preserve"> </w:t>
      </w:r>
      <w:r>
        <w:t xml:space="preserve">(Spearman ρ ≤ 0.19, RMSE clustered 1.02–1.05 in log₂(h) units), consistent with the observability-gap reading that the remaining predictive signal resides in dynamic cellular state rather than in sequence alone.</w:t>
      </w:r>
    </w:p>
    <w:bookmarkEnd w:id="11"/>
    <w:bookmarkStart w:id="12" w:name="loco-versus-5-fold-stratified"/>
    <w:p>
      <w:pPr>
        <w:pStyle w:val="Heading2"/>
      </w:pPr>
      <w:r>
        <w:t xml:space="preserve">LOCO versus 5-fold stratified</w:t>
      </w:r>
    </w:p>
    <w:p>
      <w:pPr>
        <w:pStyle w:val="Compact"/>
        <w:numPr>
          <w:ilvl w:val="0"/>
          <w:numId w:val="1002"/>
        </w:numPr>
      </w:pPr>
      <w:r>
        <w:t xml:space="preserve">LOCO AUROC SD ranges 0.17–0.30 because per-cell classifiable N is small (HeLa-TetOff has no unstable-class transcripts in the classifiable subset, for example).</w:t>
      </w:r>
    </w:p>
    <w:p>
      <w:pPr>
        <w:pStyle w:val="Compact"/>
        <w:numPr>
          <w:ilvl w:val="0"/>
          <w:numId w:val="1002"/>
        </w:numPr>
      </w:pPr>
      <w:r>
        <w:t xml:space="preserve">Primary metric throughout the Perspective is 5-fold stratified; LOCO is reported as a diagnostic of cross-cell generalisation, not as a ranking criterion.</w:t>
      </w:r>
    </w:p>
    <w:bookmarkEnd w:id="12"/>
    <w:bookmarkStart w:id="13" w:name="caveats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3"/>
        </w:numPr>
      </w:pPr>
      <w:r>
        <w:t xml:space="preserve">Proxy-to-full-weight AUROC gap for RiNALMo-650M, Evo-7B and RhoFold+ is expected on the basis of independent zero-shot comparisons to be of the order of a few percentage points; GPU replication is in</w:t>
      </w:r>
      <w:r>
        <w:t xml:space="preserve"> </w:t>
      </w:r>
      <w:r>
        <w:rPr>
          <w:rStyle w:val="VerbatimChar"/>
        </w:rPr>
        <w:t xml:space="preserve">benchmark/colab/*.ipynb</w:t>
      </w:r>
      <w:r>
        <w:t xml:space="preserve"> </w:t>
      </w:r>
      <w:r>
        <w:t xml:space="preserve">and will be reported separately.</w:t>
      </w:r>
    </w:p>
    <w:p>
      <w:pPr>
        <w:pStyle w:val="Compact"/>
        <w:numPr>
          <w:ilvl w:val="0"/>
          <w:numId w:val="1003"/>
        </w:numPr>
      </w:pPr>
      <w:r>
        <w:t xml:space="preserve">Consensus-failure analysis (main-text Fig. 4) uses the same gene-disjoint 5-fold stratified MLP predictions summarised here.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2026-04-22T01:06:13Z</dcterms:created>
  <dcterms:modified xsi:type="dcterms:W3CDTF">2026-04-22T01:06:13Z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