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ce57704763cc68ac21f7e1c8fc73fbbd4992cfa"/>
    <w:p>
      <w:pPr>
        <w:pStyle w:val="Heading1"/>
      </w:pPr>
      <w:r>
        <w:t xml:space="preserve">From black boxes to biology: deep learning and large language models for lncRNA function prediction</w:t>
      </w:r>
    </w:p>
    <w:p>
      <w:pPr>
        <w:pStyle w:val="FirstParagraph"/>
      </w:pPr>
      <w:r>
        <w:rPr>
          <w:b/>
          <w:bCs/>
        </w:rPr>
        <w:t xml:space="preserve">Target journal</w:t>
      </w:r>
      <w:r>
        <w:t xml:space="preserve">:</w:t>
      </w:r>
      <w:r>
        <w:t xml:space="preserve"> </w:t>
      </w:r>
      <w:r>
        <w:rPr>
          <w:i/>
          <w:iCs/>
        </w:rPr>
        <w:t xml:space="preserve">Briefings in Bioinformatics</w:t>
      </w:r>
      <w:r>
        <w:t xml:space="preserve"> </w:t>
      </w:r>
      <w:r>
        <w:t xml:space="preserve">(Review, max 7,000 words)</w:t>
      </w:r>
      <w:r>
        <w:t xml:space="preserve"> </w:t>
      </w:r>
      <w:r>
        <w:rPr>
          <w:b/>
          <w:bCs/>
        </w:rPr>
        <w:t xml:space="preserve">Author</w:t>
      </w:r>
      <w:r>
        <w:t xml:space="preserve">: Hidenori Tani, Ph.D. — Associate Professor, Yokohama University of Pharmaceutical Sciences</w:t>
      </w:r>
      <w:r>
        <w:t xml:space="preserve"> </w:t>
      </w:r>
      <w:r>
        <w:rPr>
          <w:b/>
          <w:bCs/>
        </w:rPr>
        <w:t xml:space="preserve">Correspondence</w:t>
      </w:r>
      <w:r>
        <w:t xml:space="preserve">: hidenori.tani@yok.hamayaku.ac.jp</w:t>
      </w:r>
      <w:r>
        <w:t xml:space="preserve"> </w:t>
      </w:r>
      <w:r>
        <w:rPr>
          <w:b/>
          <w:bCs/>
        </w:rPr>
        <w:t xml:space="preserve">Status</w:t>
      </w:r>
      <w:r>
        <w:t xml:space="preserve">: Draft v0.1 (2026-04-20) — §1–3 prose + existing skeleton. §4–8 remain in Phase 4.</w:t>
      </w:r>
      <w:r>
        <w:t xml:space="preserve"> </w:t>
      </w:r>
      <w:r>
        <w:rPr>
          <w:b/>
          <w:bCs/>
        </w:rPr>
        <w:t xml:space="preserve">Document policy</w:t>
      </w:r>
      <w:r>
        <w:t xml:space="preserve">: </w:t>
      </w:r>
      <w:r>
        <w:rPr>
          <w:rFonts w:hint="eastAsia"/>
        </w:rPr>
        <w:t xml:space="preserve">本稿は</w:t>
      </w:r>
      <w:r>
        <w:t xml:space="preserve"> </w:t>
      </w:r>
      <w:r>
        <w:rPr>
          <w:b/>
          <w:bCs/>
        </w:rPr>
        <w:t xml:space="preserve">master </w:t>
      </w:r>
      <w:r>
        <w:rPr>
          <w:rFonts w:hint="eastAsia"/>
          <w:b/>
          <w:bCs/>
        </w:rPr>
        <w:t xml:space="preserve">原稿</w:t>
      </w:r>
      <w:r>
        <w:t xml:space="preserve">。Nat MI </w:t>
      </w:r>
      <w:r>
        <w:rPr>
          <w:rFonts w:hint="eastAsia"/>
        </w:rPr>
        <w:t xml:space="preserve">版（~4,000</w:t>
      </w:r>
      <w:r>
        <w:t xml:space="preserve"> </w:t>
      </w:r>
      <w:r>
        <w:rPr>
          <w:rFonts w:hint="eastAsia"/>
        </w:rPr>
        <w:t xml:space="preserve">words）は</w:t>
      </w:r>
      <w:r>
        <w:t xml:space="preserve"> Phase 4.7 </w:t>
      </w:r>
      <w:r>
        <w:rPr>
          <w:rFonts w:hint="eastAsia"/>
        </w:rPr>
        <w:t xml:space="preserve">でここから抽出・圧縮する（D+C</w:t>
      </w:r>
      <w:r>
        <w:t xml:space="preserve"> </w:t>
      </w:r>
      <w:r>
        <w:rPr>
          <w:rFonts w:hint="eastAsia"/>
        </w:rPr>
        <w:t xml:space="preserve">戦略）。</w:t>
      </w:r>
      <w:r>
        <w:t xml:space="preserve"> </w:t>
      </w:r>
      <w:r>
        <w:rPr>
          <w:b/>
          <w:bCs/>
        </w:rPr>
        <w:t xml:space="preserve">Citation convention</w:t>
      </w:r>
      <w:r>
        <w:t xml:space="preserve">: </w:t>
      </w:r>
      <w:r>
        <w:rPr>
          <w:rFonts w:hint="eastAsia"/>
        </w:rPr>
        <w:t xml:space="preserve">本</w:t>
      </w:r>
      <w:r>
        <w:t xml:space="preserve"> draft </w:t>
      </w:r>
      <w:r>
        <w:rPr>
          <w:rFonts w:hint="eastAsia"/>
        </w:rPr>
        <w:t xml:space="preserve">では著者</w:t>
      </w:r>
      <w:r>
        <w:t xml:space="preserve"> lastname + year </w:t>
      </w:r>
      <w:r>
        <w:rPr>
          <w:rFonts w:hint="eastAsia"/>
        </w:rPr>
        <w:t xml:space="preserve">のみ記載（巻号・頁は</w:t>
      </w:r>
      <w:r>
        <w:t xml:space="preserve"> Phase 4.5 で PubMed </w:t>
      </w:r>
      <w:r>
        <w:rPr>
          <w:rFonts w:hint="eastAsia"/>
        </w:rPr>
        <w:t xml:space="preserve">から補完）。推測数値は使用しない</w:t>
      </w:r>
      <w:r>
        <w:t xml:space="preserve"> — </w:t>
      </w:r>
      <w:r>
        <w:rPr>
          <w:rFonts w:hint="eastAsia"/>
        </w:rPr>
        <w:t xml:space="preserve">不明箇所は</w:t>
      </w:r>
      <w:r>
        <w:t xml:space="preserve"> </w:t>
      </w:r>
      <w:r>
        <w:rPr>
          <w:rStyle w:val="VerbatimChar"/>
        </w:rPr>
        <w:t xml:space="preserve">[vol/pages TBD]</w:t>
      </w:r>
      <w:r>
        <w:t xml:space="preserve"> </w:t>
      </w:r>
      <w:r>
        <w:rPr>
          <w:rFonts w:hint="eastAsia"/>
        </w:rPr>
        <w:t xml:space="preserve">と明記。</w:t>
      </w:r>
    </w:p>
    <w:p>
      <w:pPr>
        <w:pStyle w:val="BodyText"/>
      </w:pPr>
      <w:r>
        <w:rPr>
          <w:b/>
          <w:bCs/>
        </w:rPr>
        <w:t xml:space="preserve">Word-budget summary (Briefings)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Target words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 Introduction</w:t>
            </w:r>
          </w:p>
        </w:tc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Skeleton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 Landscape of AI models</w:t>
            </w:r>
          </w:p>
        </w:tc>
        <w:tc>
          <w:tcPr/>
          <w:p>
            <w:pPr>
              <w:pStyle w:val="Compact"/>
            </w:pPr>
            <w:r>
              <w:t xml:space="preserve">1,100</w:t>
            </w:r>
          </w:p>
        </w:tc>
        <w:tc>
          <w:tcPr/>
          <w:p>
            <w:pPr>
              <w:pStyle w:val="Compact"/>
            </w:pPr>
            <w:r>
              <w:t xml:space="preserve">Skeleton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 Hidden dimension — RNA turnover</w:t>
            </w:r>
          </w:p>
        </w:tc>
        <w:tc>
          <w:tcPr/>
          <w:p>
            <w:pPr>
              <w:pStyle w:val="Compact"/>
            </w:pPr>
            <w:r>
              <w:t xml:space="preserve">900</w:t>
            </w:r>
          </w:p>
        </w:tc>
        <w:tc>
          <w:tcPr/>
          <w:p>
            <w:pPr>
              <w:pStyle w:val="Compact"/>
            </w:pPr>
            <w:r>
              <w:t xml:space="preserve">Skeleton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 Benchmarking results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Phase 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 Failure modes</w:t>
            </w:r>
          </w:p>
        </w:tc>
        <w:tc>
          <w:tcPr/>
          <w:p>
            <w:pPr>
              <w:pStyle w:val="Compact"/>
            </w:pPr>
            <w:r>
              <w:t xml:space="preserve">900</w:t>
            </w:r>
          </w:p>
        </w:tc>
        <w:tc>
          <w:tcPr/>
          <w:p>
            <w:pPr>
              <w:pStyle w:val="Compact"/>
            </w:pPr>
            <w:r>
              <w:t xml:space="preserve">Phase 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§6 From black box to biology-aware predictor</w:t>
            </w:r>
          </w:p>
        </w:tc>
        <w:tc>
          <w:tcPr/>
          <w:p>
            <w:pPr>
              <w:pStyle w:val="Compact"/>
            </w:pPr>
            <w:r>
              <w:t xml:space="preserve">1,100</w:t>
            </w:r>
          </w:p>
        </w:tc>
        <w:tc>
          <w:tcPr/>
          <w:p>
            <w:pPr>
              <w:pStyle w:val="Compact"/>
            </w:pPr>
            <w:r>
              <w:t xml:space="preserve">Phase 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§7 Tiered evaluation framework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Phase 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 Outlook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Phase 4.4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7,600 → trim to ≤7,000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Start w:id="11" w:name="introduction-target-700-words"/>
    <w:p>
      <w:pPr>
        <w:pStyle w:val="Heading2"/>
      </w:pPr>
      <w:r>
        <w:t xml:space="preserve">§1 Introduction (target 700 words)</w:t>
      </w:r>
    </w:p>
    <w:bookmarkStart w:id="9" w:name="draft-prose-v0.1"/>
    <w:p>
      <w:pPr>
        <w:pStyle w:val="Heading3"/>
      </w:pPr>
      <w:r>
        <w:t xml:space="preserve">Draft prose (v0.1)</w:t>
      </w:r>
    </w:p>
    <w:p>
      <w:pPr>
        <w:pStyle w:val="FirstParagraph"/>
      </w:pPr>
      <w:r>
        <w:t xml:space="preserve">Long non-coding RNAs (lncRNAs) outnumber protein-coding genes in the human genome, yet they</w:t>
      </w:r>
      <w:r>
        <w:t xml:space="preserve"> </w:t>
      </w:r>
      <w:r>
        <w:t xml:space="preserve">remain the most functionally opaque class of transcripts. For proteins, sequence now increasingly</w:t>
      </w:r>
      <w:r>
        <w:t xml:space="preserve"> </w:t>
      </w:r>
      <w:r>
        <w:t xml:space="preserve">predicts structure, and structure increasingly predicts function (Jumper et al. 2021; Abramson</w:t>
      </w:r>
      <w:r>
        <w:t xml:space="preserve"> </w:t>
      </w:r>
      <w:r>
        <w:t xml:space="preserve">et al. 2024). For lncRNAs, neither implication holds reliably: primary sequence rarely</w:t>
      </w:r>
      <w:r>
        <w:t xml:space="preserve"> </w:t>
      </w:r>
      <w:r>
        <w:t xml:space="preserve">predicts secondary structure with useful accuracy, and structure predicts function only in</w:t>
      </w:r>
      <w:r>
        <w:t xml:space="preserve"> </w:t>
      </w:r>
      <w:r>
        <w:t xml:space="preserve">a handful of well-characterised cases such as NEAT1, which scaffolds paraspeckles</w:t>
      </w:r>
      <w:r>
        <w:t xml:space="preserve"> </w:t>
      </w:r>
      <w:r>
        <w:t xml:space="preserve">(Hirose et al. 2014), and XIST, which guides chromatin modification on the inactive X</w:t>
      </w:r>
      <w:r>
        <w:t xml:space="preserve"> </w:t>
      </w:r>
      <w:r>
        <w:t xml:space="preserve">chromosome (Statello et al. 2021). The gulf between sequence and function motivates a</w:t>
      </w:r>
      <w:r>
        <w:t xml:space="preserve"> </w:t>
      </w:r>
      <w:r>
        <w:t xml:space="preserve">radically different approach: can deep learning read lncRNA function directly from</w:t>
      </w:r>
      <w:r>
        <w:t xml:space="preserve"> </w:t>
      </w:r>
      <w:r>
        <w:t xml:space="preserve">nucleotide sequence?</w:t>
      </w:r>
    </w:p>
    <w:p>
      <w:pPr>
        <w:pStyle w:val="BodyText"/>
      </w:pPr>
      <w:r>
        <w:t xml:space="preserve">The past three years have seen an explosion of RNA-centric foundation models built on this</w:t>
      </w:r>
      <w:r>
        <w:t xml:space="preserve"> </w:t>
      </w:r>
      <w:r>
        <w:t xml:space="preserve">premise. RNA-FM (Chen et al. 2022) adapted the BERT masked-language pretraining recipe to</w:t>
      </w:r>
      <w:r>
        <w:t xml:space="preserve"> </w:t>
      </w:r>
      <w:r>
        <w:t xml:space="preserve">23 million non-coding RNA sequences from RNAcentral. RiNALMo (Penic et al. 2024) scaled</w:t>
      </w:r>
      <w:r>
        <w:t xml:space="preserve"> </w:t>
      </w:r>
      <w:r>
        <w:t xml:space="preserve">this approach to 650 million parameters and 36 million sequences, improving secondary</w:t>
      </w:r>
      <w:r>
        <w:t xml:space="preserve"> </w:t>
      </w:r>
      <w:r>
        <w:t xml:space="preserve">structure prediction on unseen Rfam families. Genomic language models such as Evo</w:t>
      </w:r>
      <w:r>
        <w:t xml:space="preserve"> </w:t>
      </w:r>
      <w:r>
        <w:t xml:space="preserve">(Nguyen et al. 2024) extended the paradigm to 7 billion parameters across DNA, RNA, and</w:t>
      </w:r>
      <w:r>
        <w:t xml:space="preserve"> </w:t>
      </w:r>
      <w:r>
        <w:t xml:space="preserve">phage genomes, promising a unified representation of nucleic acid function. Meanwhile,</w:t>
      </w:r>
      <w:r>
        <w:t xml:space="preserve"> </w:t>
      </w:r>
      <w:r>
        <w:t xml:space="preserve">structure predictors such as RhoFold+ (Shen et al. 2024) brought AlphaFold-style end-to-end</w:t>
      </w:r>
      <w:r>
        <w:t xml:space="preserve"> </w:t>
      </w:r>
      <w:r>
        <w:t xml:space="preserve">geometry to RNA, and task-specific networks like DeepLncLoc (Zeng et al. 2022) target</w:t>
      </w:r>
      <w:r>
        <w:t xml:space="preserve"> </w:t>
      </w:r>
      <w:r>
        <w:t xml:space="preserve">specific lncRNA properties such as subcellular localization. A practitioner entering this</w:t>
      </w:r>
      <w:r>
        <w:t xml:space="preserve"> </w:t>
      </w:r>
      <w:r>
        <w:t xml:space="preserve">space today has, for the first time, a full stack of publicly released sequence-to-function</w:t>
      </w:r>
      <w:r>
        <w:t xml:space="preserve"> </w:t>
      </w:r>
      <w:r>
        <w:t xml:space="preserve">models to choose from.</w:t>
      </w:r>
    </w:p>
    <w:p>
      <w:pPr>
        <w:pStyle w:val="BodyText"/>
      </w:pPr>
      <w:r>
        <w:t xml:space="preserve">Yet when these models are asked to predict a single concrete functional readout for</w:t>
      </w:r>
      <w:r>
        <w:t xml:space="preserve"> </w:t>
      </w:r>
      <w:r>
        <w:t xml:space="preserve">lncRNAs — how long a transcript survives in the cell — their performance collapses to the</w:t>
      </w:r>
      <w:r>
        <w:t xml:space="preserve"> </w:t>
      </w:r>
      <w:r>
        <w:t xml:space="preserve">level of k-mer composition baselines. This is the central empirical observation of the</w:t>
      </w:r>
      <w:r>
        <w:t xml:space="preserve"> </w:t>
      </w:r>
      <w:r>
        <w:t xml:space="preserve">present review. Across five representative models, spanning sequence foundation models,</w:t>
      </w:r>
      <w:r>
        <w:t xml:space="preserve"> </w:t>
      </w:r>
      <w:r>
        <w:t xml:space="preserve">genomic language models, structure predictors, and function-specific networks, and</w:t>
      </w:r>
      <w:r>
        <w:t xml:space="preserve"> </w:t>
      </w:r>
      <w:r>
        <w:t xml:space="preserve">evaluated against BRIC-seq half-life ground truth across four mammalian cell lines, no</w:t>
      </w:r>
      <w:r>
        <w:t xml:space="preserve"> </w:t>
      </w:r>
      <w:r>
        <w:t xml:space="preserve">model exceeds an AUROC of 0.70 on binary stability classification, and continuous</w:t>
      </w:r>
      <w:r>
        <w:t xml:space="preserve"> </w:t>
      </w:r>
      <w:r>
        <w:t xml:space="preserve">regression of log-transformed half-life yields Spearman correlations of at most 0.19.</w:t>
      </w:r>
      <w:r>
        <w:t xml:space="preserve"> </w:t>
      </w:r>
      <w:r>
        <w:t xml:space="preserve">Worse, a simple 4-mer composition vector fed to a multilayer perceptron matches or exceeds</w:t>
      </w:r>
      <w:r>
        <w:t xml:space="preserve"> </w:t>
      </w:r>
      <w:r>
        <w:t xml:space="preserve">every foundation model on this task. The representational ceiling of current sequence-only</w:t>
      </w:r>
      <w:r>
        <w:t xml:space="preserve"> </w:t>
      </w:r>
      <w:r>
        <w:t xml:space="preserve">RNA AI appears to sit far below biological utility.</w:t>
      </w:r>
    </w:p>
    <w:p>
      <w:pPr>
        <w:pStyle w:val="BodyText"/>
      </w:pPr>
      <w:r>
        <w:t xml:space="preserve">We argue in this review that the shared failure of these models reflects a systematic</w:t>
      </w:r>
      <w:r>
        <w:t xml:space="preserve"> </w:t>
      </w:r>
      <w:r>
        <w:t xml:space="preserve">blind spot rather than a temporary scaling bottleneck. Every model surveyed here is trained</w:t>
      </w:r>
      <w:r>
        <w:t xml:space="preserve"> </w:t>
      </w:r>
      <w:r>
        <w:t xml:space="preserve">on static sequence data: a frozen snapshot of the transcriptome with no temporal, kinetic,</w:t>
      </w:r>
      <w:r>
        <w:t xml:space="preserve"> </w:t>
      </w:r>
      <w:r>
        <w:t xml:space="preserve">or subcellular axis. RNA turnover — the rate at which transcripts are synthesised and</w:t>
      </w:r>
      <w:r>
        <w:t xml:space="preserve"> </w:t>
      </w:r>
      <w:r>
        <w:t xml:space="preserve">degraded — is the missing dimension that defines when and where an lncRNA can act. It is</w:t>
      </w:r>
      <w:r>
        <w:t xml:space="preserve"> </w:t>
      </w:r>
      <w:r>
        <w:t xml:space="preserve">measurable at transcriptome scale by three established chemistries (Tani et al. 2012;</w:t>
      </w:r>
      <w:r>
        <w:t xml:space="preserve"> </w:t>
      </w:r>
      <w:r>
        <w:t xml:space="preserve">Herzog et al. 2017; Schofield et al. 2018), yet it is absent from every training corpus</w:t>
      </w:r>
      <w:r>
        <w:t xml:space="preserve"> </w:t>
      </w:r>
      <w:r>
        <w:t xml:space="preserve">currently used for RNA foundation models. No amount of scaling on sequence-only data will</w:t>
      </w:r>
      <w:r>
        <w:t xml:space="preserve"> </w:t>
      </w:r>
      <w:r>
        <w:t xml:space="preserve">recover a signal that was never present in the training distribution.</w:t>
      </w:r>
    </w:p>
    <w:p>
      <w:pPr>
        <w:pStyle w:val="BodyText"/>
      </w:pPr>
      <w:r>
        <w:t xml:space="preserve">The review proceeds as follows. §2 maps the current landscape of lncRNA-relevant AI models.</w:t>
      </w:r>
      <w:r>
        <w:t xml:space="preserve"> </w:t>
      </w:r>
      <w:r>
        <w:t xml:space="preserve">§3 introduces RNA turnover as the hidden functional dimension and the wet-lab methods that</w:t>
      </w:r>
      <w:r>
        <w:t xml:space="preserve"> </w:t>
      </w:r>
      <w:r>
        <w:t xml:space="preserve">measure it. §4–5 report our benchmark of five models against turnover ground truth and</w:t>
      </w:r>
      <w:r>
        <w:t xml:space="preserve"> </w:t>
      </w:r>
      <w:r>
        <w:t xml:space="preserve">dissect the consensus-failure lncRNAs. §6 proposes</w:t>
      </w:r>
      <w:r>
        <w:t xml:space="preserve"> </w:t>
      </w:r>
      <w:r>
        <w:rPr>
          <w:i/>
          <w:iCs/>
        </w:rPr>
        <w:t xml:space="preserve">dynamic grounding</w:t>
      </w:r>
      <w:r>
        <w:t xml:space="preserve"> </w:t>
      </w:r>
      <w:r>
        <w:t xml:space="preserve">— a framework that</w:t>
      </w:r>
      <w:r>
        <w:t xml:space="preserve"> </w:t>
      </w:r>
      <w:r>
        <w:t xml:space="preserve">conditions static predictions on turnover and localisation priors — as a constructive way</w:t>
      </w:r>
      <w:r>
        <w:t xml:space="preserve"> </w:t>
      </w:r>
      <w:r>
        <w:t xml:space="preserve">forward. §7 introduces a tiered evaluation standard (static × dynamic) that we suggest the</w:t>
      </w:r>
      <w:r>
        <w:t xml:space="preserve"> </w:t>
      </w:r>
      <w:r>
        <w:t xml:space="preserve">RNA-AI community adopt as a minimum bar. §8 closes with an outlook on biology-grounded</w:t>
      </w:r>
      <w:r>
        <w:t xml:space="preserve"> </w:t>
      </w:r>
      <w:r>
        <w:t xml:space="preserve">foundation models.</w:t>
      </w:r>
    </w:p>
    <w:bookmarkEnd w:id="9"/>
    <w:bookmarkStart w:id="10" w:name="argument-arc-skeleton"/>
    <w:p>
      <w:pPr>
        <w:pStyle w:val="Heading3"/>
      </w:pPr>
      <w:r>
        <w:t xml:space="preserve">Argument arc (skeleton)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lncRNA </w:t>
      </w:r>
      <w:r>
        <w:rPr>
          <w:rFonts w:hint="eastAsia"/>
        </w:rPr>
        <w:t xml:space="preserve">の機能的多様性</w:t>
      </w:r>
      <w:r>
        <w:t xml:space="preserve"> — scaffold, decoy, guide, enhancer-like, signal — </w:t>
      </w:r>
      <w:r>
        <w:rPr>
          <w:rFonts w:hint="eastAsia"/>
        </w:rPr>
        <w:t xml:space="preserve">を5-6行で</w:t>
      </w:r>
      <w:r>
        <w:t xml:space="preserve"> scan し、</w:t>
      </w:r>
      <w:r>
        <w:t xml:space="preserve"> </w:t>
      </w:r>
      <w:r>
        <w:rPr>
          <w:rFonts w:hint="eastAsia"/>
        </w:rPr>
        <w:t xml:space="preserve">「配列からは機能がほぼ読めない」という現状を設定する。</w:t>
      </w:r>
    </w:p>
    <w:p>
      <w:pPr>
        <w:pStyle w:val="Compact"/>
        <w:numPr>
          <w:ilvl w:val="1"/>
          <w:numId w:val="1003"/>
        </w:numPr>
      </w:pPr>
      <w:r>
        <w:t xml:space="preserve">Representative examples: NEAT1 (paraspeckle scaffold), MALAT1 (splicing regulator), XIST (X-inactivation guide),</w:t>
      </w:r>
      <w:r>
        <w:t xml:space="preserve"> </w:t>
      </w:r>
      <w:r>
        <w:t xml:space="preserve">HOTAIR (PRC2 recruiter), KCNQ1OT1 (imprinting). </w:t>
      </w:r>
      <w:r>
        <w:rPr>
          <w:rFonts w:hint="eastAsia"/>
        </w:rPr>
        <w:t xml:space="preserve">5本の選択は</w:t>
      </w:r>
      <w:r>
        <w:t xml:space="preserve"> §3 benchmark の reference list </w:t>
      </w:r>
      <w:r>
        <w:rPr>
          <w:rFonts w:hint="eastAsia"/>
        </w:rPr>
        <w:t xml:space="preserve">と一貫させる。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近年の</w:t>
      </w:r>
      <w:r>
        <w:t xml:space="preserve"> AI </w:t>
      </w:r>
      <w:r>
        <w:rPr>
          <w:rFonts w:hint="eastAsia"/>
        </w:rPr>
        <w:t xml:space="preserve">革命</w:t>
      </w:r>
      <w:r>
        <w:t xml:space="preserve"> — </w:t>
      </w:r>
      <w:r>
        <w:rPr>
          <w:rFonts w:hint="eastAsia"/>
        </w:rPr>
        <w:t xml:space="preserve">タンパク質構造予測の成功（AlphaFold2/3）と</w:t>
      </w:r>
      <w:r>
        <w:t xml:space="preserve"> RNA </w:t>
      </w:r>
      <w:r>
        <w:rPr>
          <w:rFonts w:hint="eastAsia"/>
        </w:rPr>
        <w:t xml:space="preserve">分野への波及</w:t>
      </w:r>
      <w:r>
        <w:t xml:space="preserve"> — </w:t>
      </w:r>
      <w:r>
        <w:rPr>
          <w:rFonts w:hint="eastAsia"/>
        </w:rPr>
        <w:t xml:space="preserve">を3-4行で配置し、</w:t>
      </w:r>
      <w:r>
        <w:t xml:space="preserve"> </w:t>
      </w:r>
      <w:r>
        <w:rPr>
          <w:rFonts w:hint="eastAsia"/>
        </w:rPr>
        <w:t xml:space="preserve">読者に「RNA</w:t>
      </w:r>
      <w:r>
        <w:t xml:space="preserve"> </w:t>
      </w:r>
      <w:r>
        <w:rPr>
          <w:rFonts w:hint="eastAsia"/>
        </w:rPr>
        <w:t xml:space="preserve">にも同じ革命が来るのか？」という期待を持たせる。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盲点命題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の提起</w:t>
      </w:r>
      <w:r>
        <w:t xml:space="preserve">: </w:t>
      </w:r>
      <w:r>
        <w:rPr>
          <w:rFonts w:hint="eastAsia"/>
        </w:rPr>
        <w:t xml:space="preserve">現在の</w:t>
      </w:r>
      <w:r>
        <w:t xml:space="preserve"> RNA AI </w:t>
      </w:r>
      <w:r>
        <w:rPr>
          <w:rFonts w:hint="eastAsia"/>
        </w:rPr>
        <w:t xml:space="preserve">モデルは「配列から静的表現」を学習しているのみで、</w:t>
      </w:r>
      <w:r>
        <w:t xml:space="preserve"> </w:t>
      </w:r>
      <w:r>
        <w:t xml:space="preserve">RNA </w:t>
      </w:r>
      <w:r>
        <w:rPr>
          <w:rFonts w:hint="eastAsia"/>
        </w:rPr>
        <w:t xml:space="preserve">機能の本質的次元である</w:t>
      </w:r>
      <w:r>
        <w:t xml:space="preserve"> turnover / localization / complex formation が</w:t>
      </w:r>
      <w:r>
        <w:t xml:space="preserve"> </w:t>
      </w:r>
      <w:r>
        <w:rPr>
          <w:rFonts w:hint="eastAsia"/>
        </w:rPr>
        <w:t xml:space="preserve">学習信号に含まれていない。これが本総説の中心命題。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本総説の構成予告:</w:t>
      </w:r>
    </w:p>
    <w:p>
      <w:pPr>
        <w:pStyle w:val="Compact"/>
        <w:numPr>
          <w:ilvl w:val="1"/>
          <w:numId w:val="1007"/>
        </w:numPr>
      </w:pPr>
      <w:r>
        <w:t xml:space="preserve">§2: </w:t>
      </w:r>
      <w:r>
        <w:rPr>
          <w:rFonts w:hint="eastAsia"/>
        </w:rPr>
        <w:t xml:space="preserve">5つの代表的モデルのランドスケープ</w:t>
      </w:r>
    </w:p>
    <w:p>
      <w:pPr>
        <w:pStyle w:val="Compact"/>
        <w:numPr>
          <w:ilvl w:val="1"/>
          <w:numId w:val="1007"/>
        </w:numPr>
      </w:pPr>
      <w:r>
        <w:t xml:space="preserve">§3: lncRNA </w:t>
      </w:r>
      <w:r>
        <w:rPr>
          <w:rFonts w:hint="eastAsia"/>
        </w:rPr>
        <w:t xml:space="preserve">機能の隠れた次元としての</w:t>
      </w:r>
      <w:r>
        <w:t xml:space="preserve"> turnover と、BRIC-seq/SLAM-seq </w:t>
      </w:r>
      <w:r>
        <w:rPr>
          <w:rFonts w:hint="eastAsia"/>
        </w:rPr>
        <w:t xml:space="preserve">による測定</w:t>
      </w:r>
    </w:p>
    <w:p>
      <w:pPr>
        <w:pStyle w:val="Compact"/>
        <w:numPr>
          <w:ilvl w:val="1"/>
          <w:numId w:val="1007"/>
        </w:numPr>
      </w:pPr>
      <w:r>
        <w:t xml:space="preserve">§4-5: 5モデル vs turnover ground-truth </w:t>
      </w:r>
      <w:r>
        <w:rPr>
          <w:rFonts w:hint="eastAsia"/>
        </w:rPr>
        <w:t xml:space="preserve">の独自ベンチマーク</w:t>
      </w:r>
    </w:p>
    <w:p>
      <w:pPr>
        <w:pStyle w:val="Compact"/>
        <w:numPr>
          <w:ilvl w:val="1"/>
          <w:numId w:val="1007"/>
        </w:numPr>
      </w:pPr>
      <w:r>
        <w:t xml:space="preserve">§6-7: dynamic grounding と tiered evaluation </w:t>
      </w:r>
      <w:r>
        <w:rPr>
          <w:rFonts w:hint="eastAsia"/>
        </w:rPr>
        <w:t xml:space="preserve">の提案</w:t>
      </w:r>
    </w:p>
    <w:p>
      <w:pPr>
        <w:pStyle w:val="FirstParagraph"/>
      </w:pPr>
      <w:r>
        <w:rPr>
          <w:b/>
          <w:bCs/>
        </w:rPr>
        <w:t xml:space="preserve">Key citations to place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lncRNA </w:t>
      </w:r>
      <w:r>
        <w:rPr>
          <w:rFonts w:hint="eastAsia"/>
        </w:rPr>
        <w:t xml:space="preserve">の機能分類総説:</w:t>
      </w:r>
      <w:r>
        <w:t xml:space="preserve"> Statello et al.,</w:t>
      </w:r>
      <w:r>
        <w:t xml:space="preserve"> </w:t>
      </w:r>
      <w:r>
        <w:rPr>
          <w:i/>
          <w:iCs/>
        </w:rPr>
        <w:t xml:space="preserve">Nat Rev Mol Cell Biol</w:t>
      </w:r>
      <w:r>
        <w:t xml:space="preserve"> </w:t>
      </w:r>
      <w:r>
        <w:rPr>
          <w:rFonts w:hint="eastAsia"/>
        </w:rPr>
        <w:t xml:space="preserve">2021（最も包括的）</w:t>
      </w:r>
    </w:p>
    <w:p>
      <w:pPr>
        <w:pStyle w:val="Compact"/>
        <w:numPr>
          <w:ilvl w:val="0"/>
          <w:numId w:val="1008"/>
        </w:numPr>
      </w:pPr>
      <w:r>
        <w:t xml:space="preserve">AlphaFold3: Abramson et al.,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rPr>
          <w:rFonts w:hint="eastAsia"/>
        </w:rPr>
        <w:t xml:space="preserve">2024（RNA</w:t>
      </w:r>
      <w:r>
        <w:t xml:space="preserve"> </w:t>
      </w:r>
      <w:r>
        <w:rPr>
          <w:rFonts w:hint="eastAsia"/>
        </w:rPr>
        <w:t xml:space="preserve">も含むため引用可）</w:t>
      </w:r>
    </w:p>
    <w:p>
      <w:pPr>
        <w:pStyle w:val="Compact"/>
        <w:numPr>
          <w:ilvl w:val="0"/>
          <w:numId w:val="1008"/>
        </w:numPr>
      </w:pPr>
      <w:r>
        <w:t xml:space="preserve">RNA AI </w:t>
      </w:r>
      <w:r>
        <w:rPr>
          <w:rFonts w:hint="eastAsia"/>
        </w:rPr>
        <w:t xml:space="preserve">の批判的総説があれば対比引用（Phase</w:t>
      </w:r>
      <w:r>
        <w:t xml:space="preserve"> 4 </w:t>
      </w:r>
      <w:r>
        <w:rPr>
          <w:rFonts w:hint="eastAsia"/>
        </w:rPr>
        <w:t xml:space="preserve">文献整備で追記）</w:t>
      </w:r>
    </w:p>
    <w:p>
      <w:pPr>
        <w:pStyle w:val="FirstParagraph"/>
      </w:pPr>
      <w:r>
        <w:rPr>
          <w:rFonts w:hint="eastAsia"/>
          <w:b/>
          <w:bCs/>
        </w:rPr>
        <w:t xml:space="preserve">開かれ方の草稿（最初の3文）</w:t>
      </w:r>
      <w:r>
        <w:t xml:space="preserve">:</w:t>
      </w:r>
    </w:p>
    <w:p>
      <w:pPr>
        <w:pStyle w:val="BlockText"/>
      </w:pPr>
      <w:r>
        <w:t xml:space="preserve">Long non-coding RNAs outnumber protein-coding genes in the human genome yet remain the most</w:t>
      </w:r>
      <w:r>
        <w:t xml:space="preserve"> </w:t>
      </w:r>
      <w:r>
        <w:t xml:space="preserve">functionally opaque class of transcripts. For proteins, sequence now increasingly predicts</w:t>
      </w:r>
      <w:r>
        <w:t xml:space="preserve"> </w:t>
      </w:r>
      <w:r>
        <w:t xml:space="preserve">structure, and structure increasingly predicts function. For lncRNAs, neither implication</w:t>
      </w:r>
      <w:r>
        <w:t xml:space="preserve"> </w:t>
      </w:r>
      <w:r>
        <w:t xml:space="preserve">holds: sequence rarely predicts structure reliably, and structure predicts function only</w:t>
      </w:r>
      <w:r>
        <w:t xml:space="preserve"> </w:t>
      </w:r>
      <w:r>
        <w:t xml:space="preserve">in rare, well-characterized cases.</w:t>
      </w:r>
    </w:p>
    <w:p>
      <w:pPr>
        <w:pStyle w:val="FirstParagraph"/>
      </w:pPr>
      <w:r>
        <w:rPr>
          <w:rFonts w:hint="eastAsia"/>
          <w:b/>
          <w:bCs/>
        </w:rPr>
        <w:t xml:space="preserve">盲点命題の提示タイミング</w:t>
      </w:r>
      <w:r>
        <w:t xml:space="preserve">: §1 </w:t>
      </w:r>
      <w:r>
        <w:rPr>
          <w:rFonts w:hint="eastAsia"/>
        </w:rPr>
        <w:t xml:space="preserve">の終わり3分の1で明示する（§3</w:t>
      </w:r>
      <w:r>
        <w:t xml:space="preserve"> </w:t>
      </w:r>
      <w:r>
        <w:rPr>
          <w:rFonts w:hint="eastAsia"/>
        </w:rPr>
        <w:t xml:space="preserve">の伏線として早めに打つ）。</w:t>
      </w:r>
    </w:p>
    <w:p>
      <w:pPr>
        <w:pStyle w:val="BodyText"/>
      </w:pPr>
      <w:r>
        <w:rPr>
          <w:b/>
          <w:bCs/>
        </w:rPr>
        <w:t xml:space="preserve">TODO (Phase 4)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lncRNA </w:t>
      </w:r>
      <w:r>
        <w:rPr>
          <w:rFonts w:hint="eastAsia"/>
        </w:rPr>
        <w:t xml:space="preserve">機能分類の総説から引用を5本選定</w:t>
      </w:r>
    </w:p>
    <w:p>
      <w:pPr>
        <w:pStyle w:val="Compact"/>
        <w:numPr>
          <w:ilvl w:val="0"/>
          <w:numId w:val="1010"/>
        </w:numPr>
      </w:pPr>
      <w:r>
        <w:t xml:space="preserve">AlphaFold3 RNA </w:t>
      </w:r>
      <w:r>
        <w:rPr>
          <w:rFonts w:hint="eastAsia"/>
        </w:rPr>
        <w:t xml:space="preserve">モジュールの位置づけを1段落で配置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盲点命題</w:t>
      </w:r>
      <w:r>
        <w:t xml:space="preserve"> A </w:t>
      </w:r>
      <w:r>
        <w:rPr>
          <w:rFonts w:hint="eastAsia"/>
        </w:rPr>
        <w:t xml:space="preserve">を本文で明示（abstract</w:t>
      </w:r>
      <w:r>
        <w:t xml:space="preserve"> と §1 </w:t>
      </w:r>
      <w:r>
        <w:rPr>
          <w:rFonts w:hint="eastAsia"/>
        </w:rPr>
        <w:t xml:space="preserve">の両方に埋め込む）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「構築命題</w:t>
      </w:r>
      <w:r>
        <w:t xml:space="preserve"> </w:t>
      </w:r>
      <w:r>
        <w:rPr>
          <w:rFonts w:hint="eastAsia"/>
        </w:rPr>
        <w:t xml:space="preserve">C」の伏線（dynamic</w:t>
      </w:r>
      <w:r>
        <w:t xml:space="preserve"> </w:t>
      </w:r>
      <w:r>
        <w:rPr>
          <w:rFonts w:hint="eastAsia"/>
        </w:rPr>
        <w:t xml:space="preserve">grounding）を</w:t>
      </w:r>
      <w:r>
        <w:t xml:space="preserve"> §1 </w:t>
      </w:r>
      <w:r>
        <w:rPr>
          <w:rFonts w:hint="eastAsia"/>
        </w:rPr>
        <w:t xml:space="preserve">最終段落で1文だけ予告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9" w:name="landscape-of-ai-models-target-1100-words"/>
    <w:p>
      <w:pPr>
        <w:pStyle w:val="Heading2"/>
      </w:pPr>
      <w:r>
        <w:t xml:space="preserve">§2 Landscape of AI models (target 1,100 words)</w:t>
      </w:r>
    </w:p>
    <w:bookmarkStart w:id="12" w:name="draft-prose-v0.1-1"/>
    <w:p>
      <w:pPr>
        <w:pStyle w:val="Heading3"/>
      </w:pPr>
      <w:r>
        <w:t xml:space="preserve">Draft prose (v0.1)</w:t>
      </w:r>
    </w:p>
    <w:p>
      <w:pPr>
        <w:pStyle w:val="FirstParagraph"/>
      </w:pPr>
      <w:r>
        <w:t xml:space="preserve">We organize the current landscape of lncRNA-relevant models by pretraining paradigm rather</w:t>
      </w:r>
      <w:r>
        <w:t xml:space="preserve"> </w:t>
      </w:r>
      <w:r>
        <w:t xml:space="preserve">than by chronology (Table 1). Four pretraining families are represented: sequence</w:t>
      </w:r>
      <w:r>
        <w:t xml:space="preserve"> </w:t>
      </w:r>
      <w:r>
        <w:t xml:space="preserve">foundation models, genomic language models, structure predictors, and function-specific</w:t>
      </w:r>
      <w:r>
        <w:t xml:space="preserve"> </w:t>
      </w:r>
      <w:r>
        <w:t xml:space="preserve">networks. This organization mirrors how a practitioner chooses a model: the first decision</w:t>
      </w:r>
      <w:r>
        <w:t xml:space="preserve"> </w:t>
      </w:r>
      <w:r>
        <w:t xml:space="preserve">is what the model was trained to do, not when it was released.</w:t>
      </w:r>
    </w:p>
    <w:p>
      <w:pPr>
        <w:pStyle w:val="BodyText"/>
      </w:pPr>
      <w:r>
        <w:rPr>
          <w:b/>
          <w:bCs/>
        </w:rPr>
        <w:t xml:space="preserve">Sequence foundation models.</w:t>
      </w:r>
      <w:r>
        <w:t xml:space="preserve"> </w:t>
      </w:r>
      <w:r>
        <w:t xml:space="preserve">RNA-FM (Chen et al. 2022) is the canonical example: a</w:t>
      </w:r>
      <w:r>
        <w:t xml:space="preserve"> </w:t>
      </w:r>
      <w:r>
        <w:t xml:space="preserve">BERT-style masked-language model with 100 million parameters, trained on 23 million</w:t>
      </w:r>
      <w:r>
        <w:t xml:space="preserve"> </w:t>
      </w:r>
      <w:r>
        <w:t xml:space="preserve">non-coding sequences from RNAcentral with a 1,024-nucleotide context window. The per-residue</w:t>
      </w:r>
      <w:r>
        <w:t xml:space="preserve"> </w:t>
      </w:r>
      <w:r>
        <w:t xml:space="preserve">embedding (640 dimensions) has become a default featurization for downstream RNA tasks and</w:t>
      </w:r>
      <w:r>
        <w:t xml:space="preserve"> </w:t>
      </w:r>
      <w:r>
        <w:t xml:space="preserve">underpins most published benchmarks of RNA language models. RiNALMo (Penic et al. 2024)</w:t>
      </w:r>
      <w:r>
        <w:t xml:space="preserve"> </w:t>
      </w:r>
      <w:r>
        <w:t xml:space="preserve">scales this recipe to 650 million parameters with ALiBi positional encoding, removing the</w:t>
      </w:r>
      <w:r>
        <w:t xml:space="preserve"> </w:t>
      </w:r>
      <w:r>
        <w:t xml:space="preserve">hard context limit and training on 36 million ncRNA sequences. Both models share a</w:t>
      </w:r>
      <w:r>
        <w:t xml:space="preserve"> </w:t>
      </w:r>
      <w:r>
        <w:t xml:space="preserve">critical design choice: they learn from sequence alone. Turnover, localization, and</w:t>
      </w:r>
      <w:r>
        <w:t xml:space="preserve"> </w:t>
      </w:r>
      <w:r>
        <w:t xml:space="preserve">abundance are absent from their supervision signal.</w:t>
      </w:r>
    </w:p>
    <w:p>
      <w:pPr>
        <w:pStyle w:val="BodyText"/>
      </w:pPr>
      <w:r>
        <w:rPr>
          <w:b/>
          <w:bCs/>
        </w:rPr>
        <w:t xml:space="preserve">Genomic language models.</w:t>
      </w:r>
      <w:r>
        <w:t xml:space="preserve"> </w:t>
      </w:r>
      <w:r>
        <w:t xml:space="preserve">Evo (Nguyen et al. 2024), reported in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with 7 billion</w:t>
      </w:r>
      <w:r>
        <w:t xml:space="preserve"> </w:t>
      </w:r>
      <w:r>
        <w:t xml:space="preserve">parameters, extends language modelling to a mixed DNA/RNA corpus drawn primarily from</w:t>
      </w:r>
      <w:r>
        <w:t xml:space="preserve"> </w:t>
      </w:r>
      <w:r>
        <w:t xml:space="preserve">prokaryotic genomes and phages, with an 8,192-nucleotide context. For lncRNAs — which are</w:t>
      </w:r>
      <w:r>
        <w:t xml:space="preserve"> </w:t>
      </w:r>
      <w:r>
        <w:t xml:space="preserve">eukaryotic, often poorly conserved, and frequently multi-exonic — the applicability of</w:t>
      </w:r>
      <w:r>
        <w:t xml:space="preserve"> </w:t>
      </w:r>
      <w:r>
        <w:t xml:space="preserve">prokaryotic-dominant pretraining is a testable hypothesis; we return to it in §4. Related</w:t>
      </w:r>
      <w:r>
        <w:t xml:space="preserve"> </w:t>
      </w:r>
      <w:r>
        <w:t xml:space="preserve">models in this family include Nucleotide Transformer (Dalla-Torre et al. 2024) and</w:t>
      </w:r>
      <w:r>
        <w:t xml:space="preserve"> </w:t>
      </w:r>
      <w:r>
        <w:t xml:space="preserve">DNABERT-2 (Zhou et al. 2024), which we mention for completeness but did not include in the</w:t>
      </w:r>
      <w:r>
        <w:t xml:space="preserve"> </w:t>
      </w:r>
      <w:r>
        <w:t xml:space="preserve">benchmark to keep the comparison interpretable.</w:t>
      </w:r>
    </w:p>
    <w:p>
      <w:pPr>
        <w:pStyle w:val="BodyText"/>
      </w:pPr>
      <w:r>
        <w:rPr>
          <w:b/>
          <w:bCs/>
        </w:rPr>
        <w:t xml:space="preserve">Structure predictors.</w:t>
      </w:r>
      <w:r>
        <w:t xml:space="preserve"> </w:t>
      </w:r>
      <w:r>
        <w:t xml:space="preserve">RhoFold+ (Shen et al. 2024), reported in</w:t>
      </w:r>
      <w:r>
        <w:t xml:space="preserve"> </w:t>
      </w:r>
      <w:r>
        <w:rPr>
          <w:i/>
          <w:iCs/>
        </w:rPr>
        <w:t xml:space="preserve">Nature Methods</w:t>
      </w:r>
      <w:r>
        <w:t xml:space="preserve">, is an</w:t>
      </w:r>
      <w:r>
        <w:t xml:space="preserve"> </w:t>
      </w:r>
      <w:r>
        <w:t xml:space="preserve">end-to-end RNA tertiary structure predictor trained on the RNA-containing subset of the PDB</w:t>
      </w:r>
      <w:r>
        <w:t xml:space="preserve"> </w:t>
      </w:r>
      <w:r>
        <w:t xml:space="preserve">and Rfam multiple sequence alignments. Its design inherits the MSA-dependency that is a</w:t>
      </w:r>
      <w:r>
        <w:t xml:space="preserve"> </w:t>
      </w:r>
      <w:r>
        <w:t xml:space="preserve">well-known failure mode for lncRNAs, where evolutionary conservation is weak and Rfam</w:t>
      </w:r>
      <w:r>
        <w:t xml:space="preserve"> </w:t>
      </w:r>
      <w:r>
        <w:t xml:space="preserve">coverage is sparse. In this review we encode each RhoFold+ prediction as a low-dimensional</w:t>
      </w:r>
      <w:r>
        <w:t xml:space="preserve"> </w:t>
      </w:r>
      <w:r>
        <w:t xml:space="preserve">structural descriptor vector (radius of gyration, fraction helix, per-residue pLDDT</w:t>
      </w:r>
      <w:r>
        <w:t xml:space="preserve"> </w:t>
      </w:r>
      <w:r>
        <w:t xml:space="preserve">distribution, and related summary statistics) rather than consuming the 3D coordinates</w:t>
      </w:r>
      <w:r>
        <w:t xml:space="preserve"> </w:t>
      </w:r>
      <w:r>
        <w:t xml:space="preserve">directly, on the principle that downstream tasks care about structural class, not atomic</w:t>
      </w:r>
      <w:r>
        <w:t xml:space="preserve"> </w:t>
      </w:r>
      <w:r>
        <w:t xml:space="preserve">positions.</w:t>
      </w:r>
    </w:p>
    <w:p>
      <w:pPr>
        <w:pStyle w:val="BodyText"/>
      </w:pPr>
      <w:r>
        <w:rPr>
          <w:b/>
          <w:bCs/>
        </w:rPr>
        <w:t xml:space="preserve">Function-specific networks.</w:t>
      </w:r>
      <w:r>
        <w:t xml:space="preserve"> </w:t>
      </w:r>
      <w:r>
        <w:t xml:space="preserve">DeepLncLoc (Zeng et al. 2022) is trained as a five-way</w:t>
      </w:r>
      <w:r>
        <w:t xml:space="preserve"> </w:t>
      </w:r>
      <w:r>
        <w:t xml:space="preserve">subcellular localization classifier for lncRNAs. Unlike the models above, its output is an</w:t>
      </w:r>
      <w:r>
        <w:t xml:space="preserve"> </w:t>
      </w:r>
      <w:r>
        <w:t xml:space="preserve">explicit functional axis. We include it to test whether a function-trained network</w:t>
      </w:r>
      <w:r>
        <w:t xml:space="preserve"> </w:t>
      </w:r>
      <w:r>
        <w:t xml:space="preserve">generalises to another function (half-life prediction), or whether its representation is</w:t>
      </w:r>
      <w:r>
        <w:t xml:space="preserve"> </w:t>
      </w:r>
      <w:r>
        <w:t xml:space="preserve">narrowly specialised to the compartment-classification task it was trained on.</w:t>
      </w:r>
    </w:p>
    <w:p>
      <w:pPr>
        <w:pStyle w:val="BodyText"/>
      </w:pPr>
      <w:r>
        <w:rPr>
          <w:b/>
          <w:bCs/>
        </w:rPr>
        <w:t xml:space="preserve">Why these five?</w:t>
      </w:r>
      <w:r>
        <w:t xml:space="preserve"> </w:t>
      </w:r>
      <w:r>
        <w:t xml:space="preserve">The selection covers four distinct pretraining paradigms; a</w:t>
      </w:r>
      <w:r>
        <w:t xml:space="preserve"> </w:t>
      </w:r>
      <w:r>
        <w:t xml:space="preserve">three-order-of-magnitude parameter range (from ~10⁸ to ~10⁹); public weights with</w:t>
      </w:r>
      <w:r>
        <w:t xml:space="preserve"> </w:t>
      </w:r>
      <w:r>
        <w:t xml:space="preserve">reproducible inference pipelines; and all five models are advertised by their authors as</w:t>
      </w:r>
      <w:r>
        <w:t xml:space="preserve"> </w:t>
      </w:r>
      <w:r>
        <w:t xml:space="preserve">applicable to lncRNAs. We explicitly excluded AlphaFold3-RNA (closed API as of the</w:t>
      </w:r>
      <w:r>
        <w:t xml:space="preserve"> </w:t>
      </w:r>
      <w:r>
        <w:t xml:space="preserve">benchmark freeze date), xTrimoRNA (commercial), and RNA-MSM (degrades on low-conservation</w:t>
      </w:r>
      <w:r>
        <w:t xml:space="preserve"> </w:t>
      </w:r>
      <w:r>
        <w:t xml:space="preserve">inputs, which is exactly the lncRNA regime). The five models retained are — to our</w:t>
      </w:r>
      <w:r>
        <w:t xml:space="preserve"> </w:t>
      </w:r>
      <w:r>
        <w:t xml:space="preserve">knowledge — the best currently available public tools for each category.</w:t>
      </w:r>
    </w:p>
    <w:p>
      <w:pPr>
        <w:pStyle w:val="BodyText"/>
      </w:pPr>
      <w:r>
        <w:rPr>
          <w:b/>
          <w:bCs/>
        </w:rPr>
        <w:t xml:space="preserve">Representational capacity.</w:t>
      </w:r>
      <w:r>
        <w:t xml:space="preserve"> </w:t>
      </w:r>
      <w:r>
        <w:t xml:space="preserve">The embeddings range from 9 dimensions (RhoFold+ structural</w:t>
      </w:r>
      <w:r>
        <w:t xml:space="preserve"> </w:t>
      </w:r>
      <w:r>
        <w:t xml:space="preserve">descriptors) to 768 dimensions (ERNIE-RNA, the CPU-feasible substitute we use for Evo-class</w:t>
      </w:r>
      <w:r>
        <w:t xml:space="preserve"> </w:t>
      </w:r>
      <w:r>
        <w:t xml:space="preserve">models in the present benchmark; see Table 1 footnote and §4 Methods). For continuity with</w:t>
      </w:r>
      <w:r>
        <w:t xml:space="preserve"> </w:t>
      </w:r>
      <w:r>
        <w:t xml:space="preserve">published RNA-FM baselines, we evaluate every model with a common downstream stack:</w:t>
      </w:r>
      <w:r>
        <w:t xml:space="preserve"> </w:t>
      </w:r>
      <w:r>
        <w:t xml:space="preserve">logistic regression, ridge regression, and a two-layer MLP. This keeps the comparison</w:t>
      </w:r>
      <w:r>
        <w:t xml:space="preserve"> </w:t>
      </w:r>
      <w:r>
        <w:t xml:space="preserve">about representation quality rather than downstream classifier engineering.</w:t>
      </w:r>
    </w:p>
    <w:bookmarkEnd w:id="12"/>
    <w:bookmarkStart w:id="13" w:name="argument-arc-skeleton-1"/>
    <w:p>
      <w:pPr>
        <w:pStyle w:val="Heading3"/>
      </w:pPr>
      <w:r>
        <w:t xml:space="preserve">Argument arc (skeleton)</w:t>
      </w:r>
    </w:p>
    <w:p>
      <w:pPr>
        <w:pStyle w:val="FirstParagraph"/>
      </w:pPr>
      <w:r>
        <w:t xml:space="preserve">5 モデルを</w:t>
      </w:r>
      <w:r>
        <w:t xml:space="preserve"> </w:t>
      </w:r>
      <w:r>
        <w:rPr>
          <w:rFonts w:hint="eastAsia"/>
          <w:b/>
          <w:bCs/>
        </w:rPr>
        <w:t xml:space="preserve">カテゴリ別</w:t>
      </w:r>
      <w:r>
        <w:t xml:space="preserve"> </w:t>
      </w:r>
      <w:r>
        <w:rPr>
          <w:rFonts w:hint="eastAsia"/>
        </w:rPr>
        <w:t xml:space="preserve">に紹介する（時系列ではなくカテゴリ別）。Table</w:t>
      </w:r>
      <w:r>
        <w:t xml:space="preserve"> 1 </w:t>
      </w:r>
      <w:r>
        <w:rPr>
          <w:rFonts w:hint="eastAsia"/>
        </w:rPr>
        <w:t xml:space="preserve">と完全一致させる。</w:t>
      </w:r>
    </w:p>
    <w:bookmarkEnd w:id="13"/>
    <w:bookmarkStart w:id="14" w:name="sequence-foundation-models-350-words"/>
    <w:p>
      <w:pPr>
        <w:pStyle w:val="Heading3"/>
      </w:pPr>
      <w:r>
        <w:t xml:space="preserve">§2.1 Sequence foundation models (~350 words)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RNA-FM</w:t>
      </w:r>
      <w:r>
        <w:t xml:space="preserve"> </w:t>
      </w:r>
      <w:r>
        <w:t xml:space="preserve">(Chen et al., 2022): BERT-like, 100M params, 23M ncRNA from RNAcentral, 1024 nt context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貢献:</w:t>
      </w:r>
      <w:r>
        <w:t xml:space="preserve"> RNA </w:t>
      </w:r>
      <w:r>
        <w:rPr>
          <w:rFonts w:hint="eastAsia"/>
        </w:rPr>
        <w:t xml:space="preserve">一次配列の自己教師学習の先駆け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限界:</w:t>
      </w:r>
      <w:r>
        <w:t xml:space="preserve"> context </w:t>
      </w:r>
      <w:r>
        <w:rPr>
          <w:rFonts w:hint="eastAsia"/>
        </w:rPr>
        <w:t xml:space="preserve">長</w:t>
      </w:r>
      <w:r>
        <w:t xml:space="preserve"> 1024 nt </w:t>
      </w:r>
      <w:r>
        <w:rPr>
          <w:rFonts w:hint="eastAsia"/>
        </w:rPr>
        <w:t xml:space="preserve">は多くの</w:t>
      </w:r>
      <w:r>
        <w:t xml:space="preserve"> </w:t>
      </w:r>
      <w:r>
        <w:rPr>
          <w:rFonts w:hint="eastAsia"/>
        </w:rPr>
        <w:t xml:space="preserve">lncRNA（&gt;4</w:t>
      </w:r>
      <w:r>
        <w:t xml:space="preserve"> </w:t>
      </w:r>
      <w:r>
        <w:rPr>
          <w:rFonts w:hint="eastAsia"/>
        </w:rPr>
        <w:t xml:space="preserve">kb）を切り詰める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RiNALMo</w:t>
      </w:r>
      <w:r>
        <w:t xml:space="preserve"> </w:t>
      </w:r>
      <w:r>
        <w:t xml:space="preserve">(Penic et al., 2024): ALiBi, 650M params, 36M ncRNA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貢献:</w:t>
      </w:r>
      <w:r>
        <w:t xml:space="preserve"> </w:t>
      </w:r>
      <w:r>
        <w:rPr>
          <w:rFonts w:hint="eastAsia"/>
        </w:rPr>
        <w:t xml:space="preserve">スケールと可変長。RNA-FM</w:t>
      </w:r>
      <w:r>
        <w:t xml:space="preserve"> </w:t>
      </w:r>
      <w:r>
        <w:rPr>
          <w:rFonts w:hint="eastAsia"/>
        </w:rPr>
        <w:t xml:space="preserve">の後継として事実上のベンチマーク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限界:</w:t>
      </w:r>
      <w:r>
        <w:t xml:space="preserve"> </w:t>
      </w:r>
      <w:r>
        <w:rPr>
          <w:rFonts w:hint="eastAsia"/>
        </w:rPr>
        <w:t xml:space="preserve">依然として</w:t>
      </w:r>
      <w:r>
        <w:t xml:space="preserve"> sequence-only</w:t>
      </w:r>
    </w:p>
    <w:bookmarkEnd w:id="14"/>
    <w:bookmarkStart w:id="15" w:name="genomic-language-models-200-words"/>
    <w:p>
      <w:pPr>
        <w:pStyle w:val="Heading3"/>
      </w:pPr>
      <w:r>
        <w:t xml:space="preserve">§2.2 Genomic language models (~200 words)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Evo</w:t>
      </w:r>
      <w:r>
        <w:t xml:space="preserve"> </w:t>
      </w:r>
      <w:r>
        <w:t xml:space="preserve">(Nguyen et al.,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2024): StripedHyena, 7B, 2.7M prokaryotic genomes + phages, 8k nt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貢献:</w:t>
      </w:r>
      <w:r>
        <w:t xml:space="preserve"> DNA/RNA </w:t>
      </w:r>
      <w:r>
        <w:rPr>
          <w:rFonts w:hint="eastAsia"/>
        </w:rPr>
        <w:t xml:space="preserve">混在の</w:t>
      </w:r>
      <w:r>
        <w:t xml:space="preserve"> long-context LM として lncRNA </w:t>
      </w:r>
      <w:r>
        <w:rPr>
          <w:rFonts w:hint="eastAsia"/>
        </w:rPr>
        <w:t xml:space="preserve">に応用可能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限界:</w:t>
      </w:r>
      <w:r>
        <w:t xml:space="preserve"> </w:t>
      </w:r>
      <w:r>
        <w:rPr>
          <w:rFonts w:hint="eastAsia"/>
        </w:rPr>
        <w:t xml:space="preserve">訓練コーパスが</w:t>
      </w:r>
      <w:r>
        <w:t xml:space="preserve"> prokaryotic </w:t>
      </w:r>
      <w:r>
        <w:rPr>
          <w:rFonts w:hint="eastAsia"/>
        </w:rPr>
        <w:t xml:space="preserve">中心。真核生物</w:t>
      </w:r>
      <w:r>
        <w:t xml:space="preserve"> lncRNA の turnover や localization には</w:t>
      </w:r>
      <w:r>
        <w:t xml:space="preserve"> </w:t>
      </w:r>
      <w:r>
        <w:rPr>
          <w:rFonts w:hint="eastAsia"/>
        </w:rPr>
        <w:t xml:space="preserve">情報が乏しい可能性</w:t>
      </w:r>
      <w:r>
        <w:t xml:space="preserve"> — §4 benchmark </w:t>
      </w:r>
      <w:r>
        <w:rPr>
          <w:rFonts w:hint="eastAsia"/>
        </w:rPr>
        <w:t xml:space="preserve">で検証する仮説</w:t>
      </w:r>
    </w:p>
    <w:p>
      <w:pPr>
        <w:pStyle w:val="Compact"/>
        <w:numPr>
          <w:ilvl w:val="0"/>
          <w:numId w:val="1016"/>
        </w:numPr>
      </w:pPr>
      <w:r>
        <w:t xml:space="preserve">Fallback: Nucleotide Transformer 2.5B (InstaDeepAI), </w:t>
      </w:r>
      <w:r>
        <w:rPr>
          <w:rFonts w:hint="eastAsia"/>
        </w:rPr>
        <w:t xml:space="preserve">DNABERT-2（Table</w:t>
      </w:r>
      <w:r>
        <w:t xml:space="preserve"> 1 </w:t>
      </w:r>
      <w:r>
        <w:rPr>
          <w:rFonts w:hint="eastAsia"/>
        </w:rPr>
        <w:t xml:space="preserve">注記）</w:t>
      </w:r>
    </w:p>
    <w:bookmarkEnd w:id="15"/>
    <w:bookmarkStart w:id="16" w:name="structure-predictors-250-words"/>
    <w:p>
      <w:pPr>
        <w:pStyle w:val="Heading3"/>
      </w:pPr>
      <w:r>
        <w:t xml:space="preserve">§2.3 Structure predictors (~250 words)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RhoFold+</w:t>
      </w:r>
      <w:r>
        <w:t xml:space="preserve"> </w:t>
      </w:r>
      <w:r>
        <w:t xml:space="preserve">(Shen et al.,</w:t>
      </w:r>
      <w:r>
        <w:t xml:space="preserve"> </w:t>
      </w:r>
      <w:r>
        <w:rPr>
          <w:i/>
          <w:iCs/>
        </w:rPr>
        <w:t xml:space="preserve">Nat Methods</w:t>
      </w:r>
      <w:r>
        <w:t xml:space="preserve"> </w:t>
      </w:r>
      <w:r>
        <w:t xml:space="preserve">2024): E2E RNA 3D </w:t>
      </w:r>
      <w:r>
        <w:rPr>
          <w:rFonts w:hint="eastAsia"/>
        </w:rPr>
        <w:t xml:space="preserve">予測,</w:t>
      </w:r>
      <w:r>
        <w:t xml:space="preserve"> PDB RNA + Rfam MSA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貢献:</w:t>
      </w:r>
      <w:r>
        <w:t xml:space="preserve"> RNA 3D </w:t>
      </w:r>
      <w:r>
        <w:rPr>
          <w:rFonts w:hint="eastAsia"/>
        </w:rPr>
        <w:t xml:space="preserve">予測の現状</w:t>
      </w:r>
      <w:r>
        <w:t xml:space="preserve"> SOTA </w:t>
      </w:r>
      <w:r>
        <w:rPr>
          <w:rFonts w:hint="eastAsia"/>
        </w:rPr>
        <w:t xml:space="preserve">の一つ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限界:</w:t>
      </w:r>
      <w:r>
        <w:t xml:space="preserve"> MSA </w:t>
      </w:r>
      <w:r>
        <w:rPr>
          <w:rFonts w:hint="eastAsia"/>
        </w:rPr>
        <w:t xml:space="preserve">依存。lncRNA</w:t>
      </w:r>
      <w:r>
        <w:t xml:space="preserve"> </w:t>
      </w:r>
      <w:r>
        <w:rPr>
          <w:rFonts w:hint="eastAsia"/>
        </w:rPr>
        <w:t xml:space="preserve">は進化保存性が低く</w:t>
      </w:r>
      <w:r>
        <w:t xml:space="preserve"> MSA </w:t>
      </w:r>
      <w:r>
        <w:rPr>
          <w:rFonts w:hint="eastAsia"/>
        </w:rPr>
        <w:t xml:space="preserve">が貧弱になりやすい（Rfam</w:t>
      </w:r>
      <w:r>
        <w:t xml:space="preserve"> coverage </w:t>
      </w:r>
      <w:r>
        <w:rPr>
          <w:rFonts w:hint="eastAsia"/>
        </w:rPr>
        <w:t xml:space="preserve">の統計を引用）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出力処理:</w:t>
      </w:r>
      <w:r>
        <w:t xml:space="preserve"> </w:t>
      </w:r>
      <w:r>
        <w:rPr>
          <w:rFonts w:hint="eastAsia"/>
        </w:rPr>
        <w:t xml:space="preserve">本総説では</w:t>
      </w:r>
      <w:r>
        <w:t xml:space="preserve"> 3D </w:t>
      </w:r>
      <w:r>
        <w:rPr>
          <w:rFonts w:hint="eastAsia"/>
        </w:rPr>
        <w:t xml:space="preserve">座標から</w:t>
      </w:r>
      <w:r>
        <w:t xml:space="preserve"> </w:t>
      </w:r>
      <w:r>
        <w:rPr>
          <w:rFonts w:hint="eastAsia"/>
        </w:rPr>
        <w:t xml:space="preserve">9次元の</w:t>
      </w:r>
      <w:r>
        <w:t xml:space="preserve"> structural </w:t>
      </w:r>
      <w:r>
        <w:rPr>
          <w:rFonts w:hint="eastAsia"/>
        </w:rPr>
        <w:t xml:space="preserve">descriptors（Rg,</w:t>
      </w:r>
      <w:r>
        <w:t xml:space="preserve"> helix fraction, plDDT </w:t>
      </w:r>
      <w:r>
        <w:rPr>
          <w:rFonts w:hint="eastAsia"/>
        </w:rPr>
        <w:t xml:space="preserve">等）を</w:t>
      </w:r>
      <w:r>
        <w:t xml:space="preserve"> </w:t>
      </w:r>
      <w:r>
        <w:rPr>
          <w:rFonts w:hint="eastAsia"/>
        </w:rPr>
        <w:t xml:space="preserve">抽出して</w:t>
      </w:r>
      <w:r>
        <w:t xml:space="preserve"> embedding </w:t>
      </w:r>
      <w:r>
        <w:rPr>
          <w:rFonts w:hint="eastAsia"/>
        </w:rPr>
        <w:t xml:space="preserve">とする（Methods</w:t>
      </w:r>
      <w:r>
        <w:t xml:space="preserve"> §3.X </w:t>
      </w:r>
      <w:r>
        <w:rPr>
          <w:rFonts w:hint="eastAsia"/>
        </w:rPr>
        <w:t xml:space="preserve">で詳述）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除外:</w:t>
      </w:r>
      <w:r>
        <w:t xml:space="preserve"> </w:t>
      </w:r>
      <w:r>
        <w:rPr>
          <w:rFonts w:hint="eastAsia"/>
        </w:rPr>
        <w:t xml:space="preserve">AlphaFold3-RNA（API</w:t>
      </w:r>
      <w:r>
        <w:t xml:space="preserve"> </w:t>
      </w:r>
      <w:r>
        <w:rPr>
          <w:rFonts w:hint="eastAsia"/>
        </w:rPr>
        <w:t xml:space="preserve">制限</w:t>
      </w:r>
      <w:r>
        <w:t xml:space="preserve"> / </w:t>
      </w:r>
      <w:r>
        <w:rPr>
          <w:rFonts w:hint="eastAsia"/>
        </w:rPr>
        <w:t xml:space="preserve">再現性）、xTrimoRNA（商用）、RNA-MSM（lncRNA</w:t>
      </w:r>
      <w:r>
        <w:t xml:space="preserve"> では MSA </w:t>
      </w:r>
      <w:r>
        <w:rPr>
          <w:rFonts w:hint="eastAsia"/>
        </w:rPr>
        <w:t xml:space="preserve">破綻）</w:t>
      </w:r>
    </w:p>
    <w:bookmarkEnd w:id="16"/>
    <w:bookmarkStart w:id="17" w:name="function-specific-networks-200-words"/>
    <w:p>
      <w:pPr>
        <w:pStyle w:val="Heading3"/>
      </w:pPr>
      <w:r>
        <w:t xml:space="preserve">§2.4 Function-specific networks (~200 words)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DeepLncLoc</w:t>
      </w:r>
      <w:r>
        <w:t xml:space="preserve"> </w:t>
      </w:r>
      <w:r>
        <w:t xml:space="preserve">(Zeng et al.,</w:t>
      </w:r>
      <w:r>
        <w:t xml:space="preserve"> </w:t>
      </w:r>
      <w:r>
        <w:rPr>
          <w:i/>
          <w:iCs/>
        </w:rPr>
        <w:t xml:space="preserve">BiB</w:t>
      </w:r>
      <w:r>
        <w:t xml:space="preserve"> </w:t>
      </w:r>
      <w:r>
        <w:t xml:space="preserve">2022): CNN-LSTM, 5-compartment subcellular localization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貢献:</w:t>
      </w:r>
      <w:r>
        <w:t xml:space="preserve"> lncRNA </w:t>
      </w:r>
      <w:r>
        <w:rPr>
          <w:rFonts w:hint="eastAsia"/>
        </w:rPr>
        <w:t xml:space="preserve">特化・機能ラベル教師学習の代表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限界:</w:t>
      </w:r>
      <w:r>
        <w:t xml:space="preserve"> </w:t>
      </w:r>
      <w:r>
        <w:rPr>
          <w:rFonts w:hint="eastAsia"/>
        </w:rPr>
        <w:t xml:space="preserve">5クラス分類に固定されており、他機能（turnover</w:t>
      </w:r>
      <w:r>
        <w:t xml:space="preserve"> </w:t>
      </w:r>
      <w:r>
        <w:rPr>
          <w:rFonts w:hint="eastAsia"/>
        </w:rPr>
        <w:t xml:space="preserve">等）へは転移しない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本総説では</w:t>
      </w:r>
      <w:r>
        <w:t xml:space="preserve"> </w:t>
      </w:r>
      <w:r>
        <w:rPr>
          <w:rFonts w:hint="eastAsia"/>
        </w:rPr>
        <w:t xml:space="preserve">5次元確率ベクトルを</w:t>
      </w:r>
      <w:r>
        <w:t xml:space="preserve"> embedding として turnover </w:t>
      </w:r>
      <w:r>
        <w:rPr>
          <w:rFonts w:hint="eastAsia"/>
        </w:rPr>
        <w:t xml:space="preserve">予測に使用</w:t>
      </w:r>
      <w:r>
        <w:t xml:space="preserve"> — </w:t>
      </w:r>
      <w:r>
        <w:rPr>
          <w:rFonts w:hint="eastAsia"/>
        </w:rPr>
        <w:t xml:space="preserve">「機能間転移」可否を検証</w:t>
      </w:r>
    </w:p>
    <w:bookmarkEnd w:id="17"/>
    <w:bookmarkStart w:id="18" w:name="選定論理-100-words"/>
    <w:p>
      <w:pPr>
        <w:pStyle w:val="Heading3"/>
      </w:pPr>
      <w:r>
        <w:t xml:space="preserve">§2.5 </w:t>
      </w:r>
      <w:r>
        <w:rPr>
          <w:rFonts w:hint="eastAsia"/>
        </w:rPr>
        <w:t xml:space="preserve">選定論理</w:t>
      </w:r>
      <w:r>
        <w:t xml:space="preserve"> (~100 words)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4カテゴリ（sequence</w:t>
      </w:r>
      <w:r>
        <w:t xml:space="preserve"> / genomic / structure / </w:t>
      </w:r>
      <w:r>
        <w:rPr>
          <w:rFonts w:hint="eastAsia"/>
        </w:rPr>
        <w:t xml:space="preserve">function）を網羅</w:t>
      </w:r>
    </w:p>
    <w:p>
      <w:pPr>
        <w:pStyle w:val="Compact"/>
        <w:numPr>
          <w:ilvl w:val="0"/>
          <w:numId w:val="1022"/>
        </w:numPr>
      </w:pPr>
      <w:r>
        <w:t xml:space="preserve">100M〜7B </w:t>
      </w:r>
      <w:r>
        <w:rPr>
          <w:rFonts w:hint="eastAsia"/>
        </w:rPr>
        <w:t xml:space="preserve">パラメータの幅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全て公開重み、再現可能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全て</w:t>
      </w:r>
      <w:r>
        <w:t xml:space="preserve"> lncRNA </w:t>
      </w:r>
      <w:r>
        <w:rPr>
          <w:rFonts w:hint="eastAsia"/>
        </w:rPr>
        <w:t xml:space="preserve">を訓練</w:t>
      </w:r>
      <w:r>
        <w:t xml:space="preserve"> or </w:t>
      </w:r>
      <w:r>
        <w:rPr>
          <w:rFonts w:hint="eastAsia"/>
        </w:rPr>
        <w:t xml:space="preserve">推論対象として扱う</w:t>
      </w:r>
    </w:p>
    <w:p>
      <w:pPr>
        <w:pStyle w:val="FirstParagraph"/>
      </w:pPr>
      <w:r>
        <w:rPr>
          <w:b/>
          <w:bCs/>
        </w:rPr>
        <w:t xml:space="preserve">Key citations</w:t>
      </w:r>
      <w:r>
        <w:t xml:space="preserve">: </w:t>
      </w:r>
      <w:r>
        <w:rPr>
          <w:rFonts w:hint="eastAsia"/>
        </w:rPr>
        <w:t xml:space="preserve">各モデル原著論文</w:t>
      </w:r>
      <w:r>
        <w:t xml:space="preserve"> + </w:t>
      </w:r>
      <w:r>
        <w:rPr>
          <w:rFonts w:hint="eastAsia"/>
        </w:rPr>
        <w:t xml:space="preserve">代表的</w:t>
      </w:r>
      <w:r>
        <w:t xml:space="preserve"> RNA AI </w:t>
      </w:r>
      <w:r>
        <w:rPr>
          <w:rFonts w:hint="eastAsia"/>
        </w:rPr>
        <w:t xml:space="preserve">総説（Kaul</w:t>
      </w:r>
      <w:r>
        <w:t xml:space="preserve"> &amp; Martin 2024, BiB </w:t>
      </w:r>
      <w:r>
        <w:rPr>
          <w:rFonts w:hint="eastAsia"/>
        </w:rPr>
        <w:t xml:space="preserve">等</w:t>
      </w:r>
      <w:r>
        <w:t xml:space="preserve"> Phase 4 </w:t>
      </w:r>
      <w:r>
        <w:rPr>
          <w:rFonts w:hint="eastAsia"/>
        </w:rPr>
        <w:t xml:space="preserve">で追加）</w:t>
      </w:r>
    </w:p>
    <w:p>
      <w:pPr>
        <w:pStyle w:val="BodyText"/>
      </w:pPr>
      <w:r>
        <w:rPr>
          <w:b/>
          <w:bCs/>
        </w:rPr>
        <w:t xml:space="preserve">TODO (Phase 4)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各モデルの「公開日</w:t>
      </w:r>
      <w:r>
        <w:t xml:space="preserve"> / </w:t>
      </w:r>
      <w:r>
        <w:rPr>
          <w:rFonts w:hint="eastAsia"/>
        </w:rPr>
        <w:t xml:space="preserve">最新バージョン」を公式</w:t>
      </w:r>
      <w:r>
        <w:t xml:space="preserve"> GitHub </w:t>
      </w:r>
      <w:r>
        <w:rPr>
          <w:rFonts w:hint="eastAsia"/>
        </w:rPr>
        <w:t xml:space="preserve">で確認（2026-04</w:t>
      </w:r>
      <w:r>
        <w:t xml:space="preserve"> </w:t>
      </w:r>
      <w:r>
        <w:rPr>
          <w:rFonts w:hint="eastAsia"/>
        </w:rPr>
        <w:t xml:space="preserve">現在）</w:t>
      </w:r>
    </w:p>
    <w:p>
      <w:pPr>
        <w:pStyle w:val="Compact"/>
        <w:numPr>
          <w:ilvl w:val="0"/>
          <w:numId w:val="1024"/>
        </w:numPr>
      </w:pPr>
      <w:r>
        <w:t xml:space="preserve">Rfam coverage for lncRNA </w:t>
      </w:r>
      <w:r>
        <w:rPr>
          <w:rFonts w:hint="eastAsia"/>
        </w:rPr>
        <w:t xml:space="preserve">の統計（保存性の低さの定量）を1つ引用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除外モデルの節を正式に1段落に書き下ろす</w:t>
      </w:r>
    </w:p>
    <w:p>
      <w:pPr>
        <w:pStyle w:val="Compact"/>
        <w:numPr>
          <w:ilvl w:val="0"/>
          <w:numId w:val="1026"/>
        </w:numPr>
      </w:pPr>
      <w:r>
        <w:t xml:space="preserve">Table 1 </w:t>
      </w:r>
      <w:r>
        <w:rPr>
          <w:rFonts w:hint="eastAsia"/>
        </w:rPr>
        <w:t xml:space="preserve">と本文の数値を完全一致させる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8" w:name="X876a464224509798f7b956530fa49c1d1e0a919"/>
    <w:p>
      <w:pPr>
        <w:pStyle w:val="Heading2"/>
      </w:pPr>
      <w:r>
        <w:t xml:space="preserve">§3 Hidden dimension — RNA turnover (target 900 words)</w:t>
      </w:r>
    </w:p>
    <w:bookmarkStart w:id="23" w:name="draft-prose-v0.1-2"/>
    <w:p>
      <w:pPr>
        <w:pStyle w:val="Heading3"/>
      </w:pPr>
      <w:r>
        <w:t xml:space="preserve">Draft prose (v0.1)</w:t>
      </w:r>
    </w:p>
    <w:p>
      <w:pPr>
        <w:pStyle w:val="FirstParagraph"/>
      </w:pPr>
      <w:r>
        <w:t xml:space="preserve">The functional opacity of lncRNAs is not only a problem of representation but also a</w:t>
      </w:r>
      <w:r>
        <w:t xml:space="preserve"> </w:t>
      </w:r>
      <w:r>
        <w:t xml:space="preserve">problem of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representation. The models surveyed in §2 all consume static sequence</w:t>
      </w:r>
      <w:r>
        <w:t xml:space="preserve"> </w:t>
      </w:r>
      <w:r>
        <w:t xml:space="preserve">and produce static embeddings. Yet lncRNA biology is fundamentally dynamic: whether a</w:t>
      </w:r>
      <w:r>
        <w:t xml:space="preserve"> </w:t>
      </w:r>
      <w:r>
        <w:t xml:space="preserve">transcript acts depends on whether it is present at the right time, in the right</w:t>
      </w:r>
      <w:r>
        <w:t xml:space="preserve"> </w:t>
      </w:r>
      <w:r>
        <w:t xml:space="preserve">compartment, at the right concentration. Half-life — the time to degrade to half the</w:t>
      </w:r>
      <w:r>
        <w:t xml:space="preserve"> </w:t>
      </w:r>
      <w:r>
        <w:t xml:space="preserve">initial steady-state pool — is the single-number summary of this dynamic state, and it is</w:t>
      </w:r>
      <w:r>
        <w:t xml:space="preserve"> </w:t>
      </w:r>
      <w:r>
        <w:t xml:space="preserve">the axis on which every model in our benchmark is tested and, as §4 will show, largely</w:t>
      </w:r>
      <w:r>
        <w:t xml:space="preserve"> </w:t>
      </w:r>
      <w:r>
        <w:t xml:space="preserve">fails.</w:t>
      </w:r>
    </w:p>
    <w:bookmarkStart w:id="20" w:name="why-turnover-matters-for-lncrna-function"/>
    <w:p>
      <w:pPr>
        <w:pStyle w:val="Heading4"/>
      </w:pPr>
      <w:r>
        <w:t xml:space="preserve">§3.1 Why turnover matters for lncRNA function</w:t>
      </w:r>
    </w:p>
    <w:p>
      <w:pPr>
        <w:pStyle w:val="FirstParagraph"/>
      </w:pPr>
      <w:r>
        <w:t xml:space="preserve">Three arguments bring turnover to the foreground. First, well-characterised lncRNAs derive</w:t>
      </w:r>
      <w:r>
        <w:t xml:space="preserve"> </w:t>
      </w:r>
      <w:r>
        <w:t xml:space="preserve">their function from kinetics, not merely from the presence of a sequence element. NEAT1</w:t>
      </w:r>
      <w:r>
        <w:t xml:space="preserve"> </w:t>
      </w:r>
      <w:r>
        <w:t xml:space="preserve">drives paraspeckle assembly in a stress-dependent manner, with paraspeckle nucleation</w:t>
      </w:r>
      <w:r>
        <w:t xml:space="preserve"> </w:t>
      </w:r>
      <w:r>
        <w:t xml:space="preserve">requiring a critical cellular concentration of the NEAT1_2 isoform (Hirose et al. 2014).</w:t>
      </w:r>
      <w:r>
        <w:t xml:space="preserve"> </w:t>
      </w:r>
      <w:r>
        <w:t xml:space="preserve">MALAT1 is one of the most stable lncRNAs in the mammalian transcriptome and localises to</w:t>
      </w:r>
      <w:r>
        <w:t xml:space="preserve"> </w:t>
      </w:r>
      <w:r>
        <w:t xml:space="preserve">nuclear speckles where it modulates splicing kinetics (Tripathi et al. 2010). In both</w:t>
      </w:r>
      <w:r>
        <w:t xml:space="preserve"> </w:t>
      </w:r>
      <w:r>
        <w:t xml:space="preserve">cases, shifting half-life by a factor of two alters the functional readout.</w:t>
      </w:r>
    </w:p>
    <w:p>
      <w:pPr>
        <w:pStyle w:val="BodyText"/>
      </w:pPr>
      <w:r>
        <w:t xml:space="preserve">Second, turnover is statistically orthogonal to steady-state abundance. Two transcripts at</w:t>
      </w:r>
      <w:r>
        <w:t xml:space="preserve"> </w:t>
      </w:r>
      <w:r>
        <w:t xml:space="preserve">identical expression level may reach that level via fast-synthesis-fast-degradation or</w:t>
      </w:r>
      <w:r>
        <w:t xml:space="preserve"> </w:t>
      </w:r>
      <w:r>
        <w:t xml:space="preserve">slow-synthesis-slow-degradation routes — with radically different biological consequences</w:t>
      </w:r>
      <w:r>
        <w:t xml:space="preserve"> </w:t>
      </w:r>
      <w:r>
        <w:t xml:space="preserve">for inducibility, noise, and signal latency. Static AI models that consume RNA-seq-derived</w:t>
      </w:r>
      <w:r>
        <w:t xml:space="preserve"> </w:t>
      </w:r>
      <w:r>
        <w:t xml:space="preserve">annotation alone cannot distinguish these regimes.</w:t>
      </w:r>
    </w:p>
    <w:p>
      <w:pPr>
        <w:pStyle w:val="BodyText"/>
      </w:pPr>
      <w:r>
        <w:t xml:space="preserve">Third, no RNA foundation model training corpus to date includes half-life labels at scale.</w:t>
      </w:r>
      <w:r>
        <w:t xml:space="preserve"> </w:t>
      </w:r>
      <w:r>
        <w:t xml:space="preserve">RNAcentral and Rfam provide sequence, family, and (partial) structural annotation, but no</w:t>
      </w:r>
      <w:r>
        <w:t xml:space="preserve"> </w:t>
      </w:r>
      <w:r>
        <w:t xml:space="preserve">kinetic annotation. A model that never saw turnover during pretraining has, in an</w:t>
      </w:r>
      <w:r>
        <w:t xml:space="preserve"> </w:t>
      </w:r>
      <w:r>
        <w:t xml:space="preserve">information-theoretic sense, no way to represent it — unless sequence happens to determine</w:t>
      </w:r>
      <w:r>
        <w:t xml:space="preserve"> </w:t>
      </w:r>
      <w:r>
        <w:t xml:space="preserve">half-life through cis-acting elements (ARE, m6A sites, destabilising motifs) strong enough</w:t>
      </w:r>
      <w:r>
        <w:t xml:space="preserve"> </w:t>
      </w:r>
      <w:r>
        <w:t xml:space="preserve">to be inferred from masked-token prediction. The benchmark we present in §4 quantifies how</w:t>
      </w:r>
      <w:r>
        <w:t xml:space="preserve"> </w:t>
      </w:r>
      <w:r>
        <w:t xml:space="preserve">much of this signal is recoverable from pretrained sequence representations alone.</w:t>
      </w:r>
    </w:p>
    <w:bookmarkEnd w:id="20"/>
    <w:bookmarkStart w:id="21" w:name="measuring-transcriptome-wide-half-lives"/>
    <w:p>
      <w:pPr>
        <w:pStyle w:val="Heading4"/>
      </w:pPr>
      <w:r>
        <w:t xml:space="preserve">§3.2 Measuring transcriptome-wide half-lives</w:t>
      </w:r>
    </w:p>
    <w:p>
      <w:pPr>
        <w:pStyle w:val="FirstParagraph"/>
      </w:pPr>
      <w:r>
        <w:t xml:space="preserve">Three complementary methods underpin the ground truth used in this review.</w:t>
      </w:r>
    </w:p>
    <w:p>
      <w:pPr>
        <w:pStyle w:val="BodyText"/>
      </w:pPr>
      <w:r>
        <w:rPr>
          <w:i/>
          <w:iCs/>
        </w:rPr>
        <w:t xml:space="preserve">BRIC-seq</w:t>
      </w:r>
      <w:r>
        <w:t xml:space="preserve"> </w:t>
      </w:r>
      <w:r>
        <w:t xml:space="preserve">(Tani et al. 2012) pulse-labels nascent RNA with 5-bromouridine, immunoprecipitates</w:t>
      </w:r>
      <w:r>
        <w:t xml:space="preserve"> </w:t>
      </w:r>
      <w:r>
        <w:t xml:space="preserve">the labelled fraction at a series of chase timepoints, and fits an exponential decay to the</w:t>
      </w:r>
      <w:r>
        <w:t xml:space="preserve"> </w:t>
      </w:r>
      <w:r>
        <w:t xml:space="preserve">remaining signal per transcript. Because BRIC-seq is pulldown-based, it detects lncRNAs</w:t>
      </w:r>
      <w:r>
        <w:t xml:space="preserve"> </w:t>
      </w:r>
      <w:r>
        <w:t xml:space="preserve">poorly only when their 5-BrU incorporation is low; the method was in fact developed with</w:t>
      </w:r>
      <w:r>
        <w:t xml:space="preserve"> </w:t>
      </w:r>
      <w:r>
        <w:t xml:space="preserve">lncRNA-inclusive transcriptome coverage in mind. The HeLa dataset used in our benchmark is</w:t>
      </w:r>
      <w:r>
        <w:t xml:space="preserve"> </w:t>
      </w:r>
      <w:r>
        <w:t xml:space="preserve">drawn from this work (DDBJ accessions DRA000345–350, DRA000357–361). We note that the</w:t>
      </w:r>
      <w:r>
        <w:t xml:space="preserve"> </w:t>
      </w:r>
      <w:r>
        <w:t xml:space="preserve">present author co-developed BRIC-seq; the benchmark uses independently re-processed</w:t>
      </w:r>
      <w:r>
        <w:t xml:space="preserve"> </w:t>
      </w:r>
      <w:r>
        <w:t xml:space="preserve">counts to avoid any analytical circularity.</w:t>
      </w:r>
    </w:p>
    <w:p>
      <w:pPr>
        <w:pStyle w:val="BodyText"/>
      </w:pPr>
      <w:r>
        <w:rPr>
          <w:i/>
          <w:iCs/>
        </w:rPr>
        <w:t xml:space="preserve">SLAM-seq</w:t>
      </w:r>
      <w:r>
        <w:t xml:space="preserve"> </w:t>
      </w:r>
      <w:r>
        <w:t xml:space="preserve">(Herzog et al. 2017) labels nascent RNA with 4-thiouridine and chemically</w:t>
      </w:r>
      <w:r>
        <w:t xml:space="preserve"> </w:t>
      </w:r>
      <w:r>
        <w:t xml:space="preserve">converts incorporated residues to a cytidine-readable form via iodoacetamide, so that</w:t>
      </w:r>
      <w:r>
        <w:t xml:space="preserve"> </w:t>
      </w:r>
      <w:r>
        <w:t xml:space="preserve">decay is read out as T→C substitution frequency in standard short-read sequencing. We draw</w:t>
      </w:r>
      <w:r>
        <w:t xml:space="preserve"> </w:t>
      </w:r>
      <w:r>
        <w:t xml:space="preserve">the mouse embryonic stem cell half-life dataset from GSE99978, which provides kinetic</w:t>
      </w:r>
      <w:r>
        <w:t xml:space="preserve"> </w:t>
      </w:r>
      <w:r>
        <w:t xml:space="preserve">parameters for 8,405 transcripts.</w:t>
      </w:r>
    </w:p>
    <w:p>
      <w:pPr>
        <w:pStyle w:val="BodyText"/>
      </w:pPr>
      <w:r>
        <w:rPr>
          <w:i/>
          <w:iCs/>
        </w:rPr>
        <w:t xml:space="preserve">TimeLapse-seq</w:t>
      </w:r>
      <w:r>
        <w:t xml:space="preserve"> </w:t>
      </w:r>
      <w:r>
        <w:t xml:space="preserve">(Schofield et al. 2018) uses the same 4-thiouridine labelling but converts</w:t>
      </w:r>
      <w:r>
        <w:t xml:space="preserve"> </w:t>
      </w:r>
      <w:r>
        <w:t xml:space="preserve">with osmium tetroxide, producing U→C substitutions. The chemistry is orthogonal to SLAM-seq</w:t>
      </w:r>
      <w:r>
        <w:t xml:space="preserve"> </w:t>
      </w:r>
      <w:r>
        <w:t xml:space="preserve">but the downstream computational pipeline is similar. We use the mouse embryonic fibroblast</w:t>
      </w:r>
      <w:r>
        <w:t xml:space="preserve"> </w:t>
      </w:r>
      <w:r>
        <w:t xml:space="preserve">and K562 datasets from GSE95854. We stress the distinction from SLAM-seq because the two</w:t>
      </w:r>
      <w:r>
        <w:t xml:space="preserve"> </w:t>
      </w:r>
      <w:r>
        <w:t xml:space="preserve">are frequently conflated in secondary literature.</w:t>
      </w:r>
    </w:p>
    <w:p>
      <w:pPr>
        <w:pStyle w:val="BodyText"/>
      </w:pPr>
      <w:r>
        <w:t xml:space="preserve">The three methods differ in labelling chemistry, read-out modality, and detection</w:t>
      </w:r>
      <w:r>
        <w:t xml:space="preserve"> </w:t>
      </w:r>
      <w:r>
        <w:t xml:space="preserve">sensitivity for lowly-expressed or poorly-labelled transcripts. Supplementary Table S1</w:t>
      </w:r>
      <w:r>
        <w:t xml:space="preserve"> </w:t>
      </w:r>
      <w:r>
        <w:t xml:space="preserve">tabulates the key parameters. Importantly, all three report half-lives on a log-hours</w:t>
      </w:r>
      <w:r>
        <w:t xml:space="preserve"> </w:t>
      </w:r>
      <w:r>
        <w:t xml:space="preserve">scale that is directly comparable once method-specific biases are calibrated, which we do</w:t>
      </w:r>
      <w:r>
        <w:t xml:space="preserve"> </w:t>
      </w:r>
      <w:r>
        <w:t xml:space="preserve">per cell line at benchmark time.</w:t>
      </w:r>
    </w:p>
    <w:bookmarkEnd w:id="21"/>
    <w:bookmarkStart w:id="22" w:name="Xf049e147e4ca837d42bb1271ec05f666d42d0fa"/>
    <w:p>
      <w:pPr>
        <w:pStyle w:val="Heading4"/>
      </w:pPr>
      <w:r>
        <w:t xml:space="preserve">§3.3 Why current AI models cannot represent turnover</w:t>
      </w:r>
    </w:p>
    <w:p>
      <w:pPr>
        <w:pStyle w:val="FirstParagraph"/>
      </w:pPr>
      <w:r>
        <w:t xml:space="preserve">The argument is structural rather than empirical: a model whose supervision signal</w:t>
      </w:r>
      <w:r>
        <w:t xml:space="preserve"> </w:t>
      </w:r>
      <w:r>
        <w:t xml:space="preserve">contains no kinetic information cannot, in principle, learn a kinetic representation except</w:t>
      </w:r>
      <w:r>
        <w:t xml:space="preserve"> </w:t>
      </w:r>
      <w:r>
        <w:t xml:space="preserve">by proxy. The only pathway is for half-life to be strongly determined by cis-acting</w:t>
      </w:r>
      <w:r>
        <w:t xml:space="preserve"> </w:t>
      </w:r>
      <w:r>
        <w:t xml:space="preserve">sequence elements that survive masked-token pretraining. Many such elements are known</w:t>
      </w:r>
      <w:r>
        <w:t xml:space="preserve"> </w:t>
      </w:r>
      <w:r>
        <w:t xml:space="preserve">individually — AU-rich elements (Chen &amp; Shyu 1995), m6A methylation consensus sites</w:t>
      </w:r>
      <w:r>
        <w:t xml:space="preserve"> </w:t>
      </w:r>
      <w:r>
        <w:t xml:space="preserve">(Wang et al. 2014), PUF-binding motifs — and k-mer composition features would be expected</w:t>
      </w:r>
      <w:r>
        <w:t xml:space="preserve"> </w:t>
      </w:r>
      <w:r>
        <w:t xml:space="preserve">to capture them. This motivates the k-mer baseline in §4, which turns out to match or</w:t>
      </w:r>
      <w:r>
        <w:t xml:space="preserve"> </w:t>
      </w:r>
      <w:r>
        <w:t xml:space="preserve">exceed every foundation model tested.</w:t>
      </w:r>
    </w:p>
    <w:bookmarkEnd w:id="22"/>
    <w:bookmarkEnd w:id="23"/>
    <w:bookmarkStart w:id="24" w:name="argument-arc-skeleton-2"/>
    <w:p>
      <w:pPr>
        <w:pStyle w:val="Heading3"/>
      </w:pPr>
      <w:r>
        <w:t xml:space="preserve">Argument arc (skeleton)</w:t>
      </w:r>
    </w:p>
    <w:p>
      <w:pPr>
        <w:pStyle w:val="FirstParagraph"/>
      </w:pPr>
      <w:r>
        <w:t xml:space="preserve">§2 </w:t>
      </w:r>
      <w:r>
        <w:rPr>
          <w:rFonts w:hint="eastAsia"/>
        </w:rPr>
        <w:t xml:space="preserve">で示した</w:t>
      </w:r>
      <w:r>
        <w:t xml:space="preserve"> 5 </w:t>
      </w:r>
      <w:r>
        <w:rPr>
          <w:rFonts w:hint="eastAsia"/>
        </w:rPr>
        <w:t xml:space="preserve">モデルは「配列</w:t>
      </w:r>
      <w:r>
        <w:t xml:space="preserve"> / </w:t>
      </w:r>
      <w:r>
        <w:rPr>
          <w:rFonts w:hint="eastAsia"/>
        </w:rPr>
        <w:t xml:space="preserve">構造</w:t>
      </w:r>
      <w:r>
        <w:t xml:space="preserve"> / </w:t>
      </w:r>
      <w:r>
        <w:rPr>
          <w:rFonts w:hint="eastAsia"/>
        </w:rPr>
        <w:t xml:space="preserve">局在」は学習するが、</w:t>
      </w:r>
      <w:r>
        <w:rPr>
          <w:rFonts w:hint="eastAsia"/>
          <w:b/>
          <w:bCs/>
        </w:rPr>
        <w:t xml:space="preserve">時間軸（turnover）</w:t>
      </w:r>
      <w:r>
        <w:t xml:space="preserve"> </w:t>
      </w:r>
      <w:r>
        <w:rPr>
          <w:rFonts w:hint="eastAsia"/>
        </w:rPr>
        <w:t xml:space="preserve">は学習しない。</w:t>
      </w:r>
      <w:r>
        <w:t xml:space="preserve"> </w:t>
      </w:r>
      <w:r>
        <w:rPr>
          <w:rFonts w:hint="eastAsia"/>
        </w:rPr>
        <w:t xml:space="preserve">本章では</w:t>
      </w:r>
      <w:r>
        <w:t xml:space="preserve"> turnover が lncRNA </w:t>
      </w:r>
      <w:r>
        <w:rPr>
          <w:rFonts w:hint="eastAsia"/>
        </w:rPr>
        <w:t xml:space="preserve">機能の本質的次元であること、そしてそれを測る実験手法を読者に装備させる。</w:t>
      </w:r>
    </w:p>
    <w:bookmarkEnd w:id="24"/>
    <w:bookmarkStart w:id="25" w:name="X48319465d94926458b7fbbe6576937c1f688e8a"/>
    <w:p>
      <w:pPr>
        <w:pStyle w:val="Heading3"/>
      </w:pPr>
      <w:r>
        <w:t xml:space="preserve">§3.1 Why turnover matters for lncRNA function (~300 words)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論拠</w:t>
      </w:r>
      <w:r>
        <w:t xml:space="preserve"> 1: lncRNA </w:t>
      </w:r>
      <w:r>
        <w:rPr>
          <w:rFonts w:hint="eastAsia"/>
        </w:rPr>
        <w:t xml:space="preserve">の機能発揮には「正しいタイミングで存在する」ことが必須</w:t>
      </w:r>
      <w:r>
        <w:t xml:space="preserve"> </w:t>
      </w:r>
      <w:r>
        <w:rPr>
          <w:rFonts w:hint="eastAsia"/>
        </w:rPr>
        <w:t xml:space="preserve">（NEAT1</w:t>
      </w:r>
      <w:r>
        <w:t xml:space="preserve"> by paraspeckle formation under stress — Hirose et al.; MALAT1 cell-cycle regulation </w:t>
      </w:r>
      <w:r>
        <w:rPr>
          <w:rFonts w:hint="eastAsia"/>
        </w:rPr>
        <w:t xml:space="preserve">など）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論拠</w:t>
      </w:r>
      <w:r>
        <w:t xml:space="preserve"> 2: turnover は steady-state abundance </w:t>
      </w:r>
      <w:r>
        <w:rPr>
          <w:rFonts w:hint="eastAsia"/>
        </w:rPr>
        <w:t xml:space="preserve">とは独立の次元</w:t>
      </w:r>
      <w:r>
        <w:t xml:space="preserve"> </w:t>
      </w:r>
      <w:r>
        <w:rPr>
          <w:rFonts w:hint="eastAsia"/>
        </w:rPr>
        <w:t xml:space="preserve">（高発現・短寿命</w:t>
      </w:r>
      <w:r>
        <w:t xml:space="preserve"> vs </w:t>
      </w:r>
      <w:r>
        <w:rPr>
          <w:rFonts w:hint="eastAsia"/>
        </w:rPr>
        <w:t xml:space="preserve">低発現・長寿命</w:t>
      </w:r>
      <w:r>
        <w:t xml:space="preserve"> </w:t>
      </w:r>
      <w:r>
        <w:rPr>
          <w:rFonts w:hint="eastAsia"/>
        </w:rPr>
        <w:t xml:space="preserve">は挙動が全く違う）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論拠</w:t>
      </w:r>
      <w:r>
        <w:t xml:space="preserve"> 3: </w:t>
      </w:r>
      <w:r>
        <w:rPr>
          <w:rFonts w:hint="eastAsia"/>
        </w:rPr>
        <w:t xml:space="preserve">既存</w:t>
      </w:r>
      <w:r>
        <w:t xml:space="preserve"> RNA AI </w:t>
      </w:r>
      <w:r>
        <w:rPr>
          <w:rFonts w:hint="eastAsia"/>
        </w:rPr>
        <w:t xml:space="preserve">モデルの訓練コーパス（RNAcentral,</w:t>
      </w:r>
      <w:r>
        <w:t xml:space="preserve"> </w:t>
      </w:r>
      <w:r>
        <w:rPr>
          <w:rFonts w:hint="eastAsia"/>
        </w:rPr>
        <w:t xml:space="preserve">Rfam）には</w:t>
      </w:r>
      <w:r>
        <w:t xml:space="preserve"> turnover </w:t>
      </w:r>
      <w:r>
        <w:rPr>
          <w:rFonts w:hint="eastAsia"/>
        </w:rPr>
        <w:t xml:space="preserve">ラベルが存在しない</w:t>
      </w:r>
      <w:r>
        <w:t xml:space="preserve"> </w:t>
      </w:r>
      <w:r>
        <w:t xml:space="preserve">→ </w:t>
      </w:r>
      <w:r>
        <w:rPr>
          <w:rFonts w:hint="eastAsia"/>
        </w:rPr>
        <w:t xml:space="preserve">アーキテクチャ改善では埋まらない「データ側の穴」</w:t>
      </w:r>
    </w:p>
    <w:bookmarkEnd w:id="25"/>
    <w:bookmarkStart w:id="26" w:name="Xe4bdb0d226998521d185818ea9767243791e58b"/>
    <w:p>
      <w:pPr>
        <w:pStyle w:val="Heading3"/>
      </w:pPr>
      <w:r>
        <w:t xml:space="preserve">§3.2 Measuring transcriptome-wide half-lives (~400 words)</w:t>
      </w:r>
    </w:p>
    <w:p>
      <w:pPr>
        <w:pStyle w:val="FirstParagraph"/>
      </w:pPr>
      <w:r>
        <w:t xml:space="preserve">3 </w:t>
      </w:r>
      <w:r>
        <w:rPr>
          <w:rFonts w:hint="eastAsia"/>
        </w:rPr>
        <w:t xml:space="preserve">手法を並列で紹介し、本総説</w:t>
      </w:r>
      <w:r>
        <w:t xml:space="preserve"> benchmark </w:t>
      </w:r>
      <w:r>
        <w:rPr>
          <w:rFonts w:hint="eastAsia"/>
        </w:rPr>
        <w:t xml:space="preserve">が依拠するデータを読者に理解させる。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BRIC-seq</w:t>
      </w:r>
      <w:r>
        <w:t xml:space="preserve"> </w:t>
      </w:r>
      <w:r>
        <w:t xml:space="preserve">(Tani et al., 2012,</w:t>
      </w:r>
      <w:r>
        <w:t xml:space="preserve"> </w:t>
      </w:r>
      <w:r>
        <w:rPr>
          <w:i/>
          <w:iCs/>
        </w:rPr>
        <w:t xml:space="preserve">Genome Research</w:t>
      </w:r>
      <w:r>
        <w:t xml:space="preserve">): 5-EU pulse, HeLa, </w:t>
      </w:r>
      <w:r>
        <w:rPr>
          <w:rFonts w:hint="eastAsia"/>
        </w:rPr>
        <w:t xml:space="preserve">無ラベル分子を経時減衰として観測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本総説での使用:</w:t>
      </w:r>
      <w:r>
        <w:t xml:space="preserve"> HeLa </w:t>
      </w:r>
      <w:r>
        <w:rPr>
          <w:rFonts w:hint="eastAsia"/>
        </w:rPr>
        <w:t xml:space="preserve">データ（DDBJ</w:t>
      </w:r>
      <w:r>
        <w:t xml:space="preserve"> DRA000345-350, </w:t>
      </w:r>
      <w:r>
        <w:rPr>
          <w:rFonts w:hint="eastAsia"/>
        </w:rPr>
        <w:t xml:space="preserve">DRA000357-361）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著者自身の手法であることは</w:t>
      </w:r>
      <w:r>
        <w:t xml:space="preserve"> §3.2 または Methods </w:t>
      </w:r>
      <w:r>
        <w:rPr>
          <w:rFonts w:hint="eastAsia"/>
        </w:rPr>
        <w:t xml:space="preserve">で簡潔に明示（過剰な自己言及は避ける）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SLAM-seq</w:t>
      </w:r>
      <w:r>
        <w:t xml:space="preserve"> </w:t>
      </w:r>
      <w:r>
        <w:t xml:space="preserve">(Herzog et al., 2017,</w:t>
      </w:r>
      <w:r>
        <w:t xml:space="preserve"> </w:t>
      </w:r>
      <w:r>
        <w:rPr>
          <w:i/>
          <w:iCs/>
        </w:rPr>
        <w:t xml:space="preserve">Nature Methods</w:t>
      </w:r>
      <w:r>
        <w:t xml:space="preserve">): 4sU </w:t>
      </w:r>
      <w:r>
        <w:rPr>
          <w:rFonts w:hint="eastAsia"/>
        </w:rPr>
        <w:t xml:space="preserve">取り込み</w:t>
      </w:r>
      <w:r>
        <w:t xml:space="preserve"> + iodoacetamide による T&gt;C </w:t>
      </w:r>
      <w:r>
        <w:rPr>
          <w:rFonts w:hint="eastAsia"/>
        </w:rPr>
        <w:t xml:space="preserve">変換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本総説での使用:</w:t>
      </w:r>
      <w:r>
        <w:t xml:space="preserve"> </w:t>
      </w:r>
      <w:r>
        <w:rPr>
          <w:rFonts w:hint="eastAsia"/>
        </w:rPr>
        <w:t xml:space="preserve">mESC（GEO</w:t>
      </w:r>
      <w:r>
        <w:t xml:space="preserve"> GSE99978、Zenodo 8,405 </w:t>
      </w:r>
      <w:r>
        <w:rPr>
          <w:rFonts w:hint="eastAsia"/>
        </w:rPr>
        <w:t xml:space="preserve">転写産物の半減期）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TimeLapse-seq</w:t>
      </w:r>
      <w:r>
        <w:t xml:space="preserve"> </w:t>
      </w:r>
      <w:r>
        <w:t xml:space="preserve">(Schofield et al., 2018,</w:t>
      </w:r>
      <w:r>
        <w:t xml:space="preserve"> </w:t>
      </w:r>
      <w:r>
        <w:rPr>
          <w:i/>
          <w:iCs/>
        </w:rPr>
        <w:t xml:space="preserve">Nature Methods</w:t>
      </w:r>
      <w:r>
        <w:t xml:space="preserve">): 4sU + OsO4 による U→C </w:t>
      </w:r>
      <w:r>
        <w:rPr>
          <w:rFonts w:hint="eastAsia"/>
        </w:rPr>
        <w:t xml:space="preserve">変換（SLAM-seq</w:t>
      </w:r>
      <w:r>
        <w:t xml:space="preserve"> </w:t>
      </w:r>
      <w:r>
        <w:rPr>
          <w:rFonts w:hint="eastAsia"/>
        </w:rPr>
        <w:t xml:space="preserve">と化学が異なる）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本総説での使用:</w:t>
      </w:r>
      <w:r>
        <w:t xml:space="preserve"> MEF + </w:t>
      </w:r>
      <w:r>
        <w:rPr>
          <w:rFonts w:hint="eastAsia"/>
        </w:rPr>
        <w:t xml:space="preserve">K562（GEO</w:t>
      </w:r>
      <w:r>
        <w:t xml:space="preserve"> </w:t>
      </w:r>
      <w:r>
        <w:rPr>
          <w:rFonts w:hint="eastAsia"/>
        </w:rPr>
        <w:t xml:space="preserve">GSE95854）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SLAM-seq と TimeLapse-seq </w:t>
      </w:r>
      <w:r>
        <w:rPr>
          <w:rFonts w:hint="eastAsia"/>
          <w:b/>
          <w:bCs/>
        </w:rPr>
        <w:t xml:space="preserve">の区別</w:t>
      </w:r>
      <w:r>
        <w:t xml:space="preserve"> </w:t>
      </w:r>
      <w:r>
        <w:rPr>
          <w:rFonts w:hint="eastAsia"/>
        </w:rPr>
        <w:t xml:space="preserve">は読者の混乱を避けるため明記する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3手法の比較テーブル（§3.2</w:t>
      </w:r>
      <w:r>
        <w:t xml:space="preserve"> </w:t>
      </w:r>
      <w:r>
        <w:rPr>
          <w:rFonts w:hint="eastAsia"/>
        </w:rPr>
        <w:t xml:space="preserve">冒頭</w:t>
      </w:r>
      <w:r>
        <w:t xml:space="preserve"> or Supplementary </w:t>
      </w:r>
      <w:r>
        <w:rPr>
          <w:rFonts w:hint="eastAsia"/>
        </w:rPr>
        <w:t xml:space="preserve">Table）: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化学（IAA</w:t>
      </w:r>
      <w:r>
        <w:t xml:space="preserve"> / OsO4 / </w:t>
      </w:r>
      <w:r>
        <w:rPr>
          <w:rFonts w:hint="eastAsia"/>
        </w:rPr>
        <w:t xml:space="preserve">5-EU）、検出原理、カバレッジ、lncRNA検出感度、データ可用性</w:t>
      </w:r>
    </w:p>
    <w:bookmarkEnd w:id="26"/>
    <w:bookmarkStart w:id="27" w:name="X5cdef4de126bb67fcfaba3110efa34b0ef4b552"/>
    <w:p>
      <w:pPr>
        <w:pStyle w:val="Heading3"/>
      </w:pPr>
      <w:r>
        <w:t xml:space="preserve">§3.3 Why current AI models cannot represent turnover (~200 words)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構造的理由:</w:t>
      </w:r>
      <w:r>
        <w:t xml:space="preserve"> </w:t>
      </w:r>
      <w:r>
        <w:rPr>
          <w:rFonts w:hint="eastAsia"/>
        </w:rPr>
        <w:t xml:space="preserve">訓練コーパスに</w:t>
      </w:r>
      <w:r>
        <w:t xml:space="preserve"> turnover ラベルがない → </w:t>
      </w:r>
      <w:r>
        <w:rPr>
          <w:rFonts w:hint="eastAsia"/>
        </w:rPr>
        <w:t xml:space="preserve">モデル内部表現に該当次元が存在しない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情報理論的理由:</w:t>
      </w:r>
      <w:r>
        <w:t xml:space="preserve"> turnover </w:t>
      </w:r>
      <w:r>
        <w:rPr>
          <w:rFonts w:hint="eastAsia"/>
        </w:rPr>
        <w:t xml:space="preserve">は配列の</w:t>
      </w:r>
      <w:r>
        <w:t xml:space="preserve"> cis </w:t>
      </w:r>
      <w:r>
        <w:rPr>
          <w:rFonts w:hint="eastAsia"/>
        </w:rPr>
        <w:t xml:space="preserve">要素（ARE,</w:t>
      </w:r>
      <w:r>
        <w:t xml:space="preserve"> m6A site </w:t>
      </w:r>
      <w:r>
        <w:rPr>
          <w:rFonts w:hint="eastAsia"/>
        </w:rPr>
        <w:t xml:space="preserve">等）と</w:t>
      </w:r>
      <w:r>
        <w:t xml:space="preserve"> trans </w:t>
      </w:r>
      <w:r>
        <w:rPr>
          <w:rFonts w:hint="eastAsia"/>
        </w:rPr>
        <w:t xml:space="preserve">要素（細胞状態、RNA-binding</w:t>
      </w:r>
      <w:r>
        <w:t xml:space="preserve"> protein </w:t>
      </w:r>
      <w:r>
        <w:rPr>
          <w:rFonts w:hint="eastAsia"/>
        </w:rPr>
        <w:t xml:space="preserve">濃度）</w:t>
      </w:r>
      <w:r>
        <w:t xml:space="preserve"> </w:t>
      </w:r>
      <w:r>
        <w:rPr>
          <w:rFonts w:hint="eastAsia"/>
        </w:rPr>
        <w:t xml:space="preserve">の両方に依存</w:t>
      </w:r>
      <w:r>
        <w:t xml:space="preserve"> — sequence-only モデルでは trans </w:t>
      </w:r>
      <w:r>
        <w:rPr>
          <w:rFonts w:hint="eastAsia"/>
        </w:rPr>
        <w:t xml:space="preserve">を原理的に捉えられない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経験的理由:</w:t>
      </w:r>
      <w:r>
        <w:t xml:space="preserve"> §4 </w:t>
      </w:r>
      <w:r>
        <w:rPr>
          <w:rFonts w:hint="eastAsia"/>
        </w:rPr>
        <w:t xml:space="preserve">で示すベンチマーク結果が、この構造的欠陥を定量する</w:t>
      </w:r>
      <w:r>
        <w:t xml:space="preserve"> </w:t>
      </w:r>
      <w:r>
        <w:rPr>
          <w:rFonts w:hint="eastAsia"/>
        </w:rPr>
        <w:t xml:space="preserve">（§1</w:t>
      </w:r>
      <w:r>
        <w:t xml:space="preserve"> </w:t>
      </w:r>
      <w:r>
        <w:rPr>
          <w:rFonts w:hint="eastAsia"/>
        </w:rPr>
        <w:t xml:space="preserve">で提起した盲点命題</w:t>
      </w:r>
      <w:r>
        <w:t xml:space="preserve"> A </w:t>
      </w:r>
      <w:r>
        <w:rPr>
          <w:rFonts w:hint="eastAsia"/>
        </w:rPr>
        <w:t xml:space="preserve">の定量的検証が</w:t>
      </w:r>
      <w:r>
        <w:t xml:space="preserve"> §4 </w:t>
      </w:r>
      <w:r>
        <w:rPr>
          <w:rFonts w:hint="eastAsia"/>
        </w:rPr>
        <w:t xml:space="preserve">であることを読者に予告）</w:t>
      </w:r>
    </w:p>
    <w:p>
      <w:pPr>
        <w:pStyle w:val="FirstParagraph"/>
      </w:pPr>
      <w:r>
        <w:rPr>
          <w:b/>
          <w:bCs/>
        </w:rPr>
        <w:t xml:space="preserve">Key citations</w:t>
      </w:r>
      <w:r>
        <w:t xml:space="preserve">:</w:t>
      </w:r>
    </w:p>
    <w:p>
      <w:pPr>
        <w:pStyle w:val="Compact"/>
        <w:numPr>
          <w:ilvl w:val="0"/>
          <w:numId w:val="1034"/>
        </w:numPr>
      </w:pPr>
      <w:r>
        <w:t xml:space="preserve">BRIC-seq: Tani et al.,</w:t>
      </w:r>
      <w:r>
        <w:t xml:space="preserve"> </w:t>
      </w:r>
      <w:r>
        <w:rPr>
          <w:i/>
          <w:iCs/>
        </w:rPr>
        <w:t xml:space="preserve">Genome Res</w:t>
      </w:r>
      <w:r>
        <w:t xml:space="preserve"> </w:t>
      </w:r>
      <w:r>
        <w:t xml:space="preserve">2012</w:t>
      </w:r>
    </w:p>
    <w:p>
      <w:pPr>
        <w:pStyle w:val="Compact"/>
        <w:numPr>
          <w:ilvl w:val="0"/>
          <w:numId w:val="1034"/>
        </w:numPr>
      </w:pPr>
      <w:r>
        <w:t xml:space="preserve">SLAM-seq: Herzog et al.,</w:t>
      </w:r>
      <w:r>
        <w:t xml:space="preserve"> </w:t>
      </w:r>
      <w:r>
        <w:rPr>
          <w:i/>
          <w:iCs/>
        </w:rPr>
        <w:t xml:space="preserve">Nat Methods</w:t>
      </w:r>
      <w:r>
        <w:t xml:space="preserve"> </w:t>
      </w:r>
      <w:r>
        <w:t xml:space="preserve">2017</w:t>
      </w:r>
    </w:p>
    <w:p>
      <w:pPr>
        <w:pStyle w:val="Compact"/>
        <w:numPr>
          <w:ilvl w:val="0"/>
          <w:numId w:val="1034"/>
        </w:numPr>
      </w:pPr>
      <w:r>
        <w:t xml:space="preserve">TimeLapse-seq: Schofield et al.,</w:t>
      </w:r>
      <w:r>
        <w:t xml:space="preserve"> </w:t>
      </w:r>
      <w:r>
        <w:rPr>
          <w:i/>
          <w:iCs/>
        </w:rPr>
        <w:t xml:space="preserve">Nat Methods</w:t>
      </w:r>
      <w:r>
        <w:t xml:space="preserve"> </w:t>
      </w:r>
      <w:r>
        <w:t xml:space="preserve">2018</w:t>
      </w:r>
    </w:p>
    <w:p>
      <w:pPr>
        <w:pStyle w:val="Compact"/>
        <w:numPr>
          <w:ilvl w:val="0"/>
          <w:numId w:val="1034"/>
        </w:numPr>
      </w:pPr>
      <w:r>
        <w:t xml:space="preserve">NEAT1 paraspeckle dynamics: Hirose et al.,</w:t>
      </w:r>
      <w:r>
        <w:t xml:space="preserve"> </w:t>
      </w:r>
      <w:r>
        <w:rPr>
          <w:i/>
          <w:iCs/>
        </w:rPr>
        <w:t xml:space="preserve">Mol Biol Cell</w:t>
      </w:r>
      <w:r>
        <w:t xml:space="preserve"> </w:t>
      </w:r>
      <w:r>
        <w:t xml:space="preserve">/ Fox &amp; Lamond</w:t>
      </w:r>
      <w:r>
        <w:t xml:space="preserve"> </w:t>
      </w:r>
      <w:r>
        <w:rPr>
          <w:i/>
          <w:iCs/>
        </w:rPr>
        <w:t xml:space="preserve">Cold Spring Harb Perspect</w:t>
      </w:r>
      <w:r>
        <w:t xml:space="preserve"> </w:t>
      </w:r>
      <w:r>
        <w:rPr>
          <w:rFonts w:hint="eastAsia"/>
        </w:rPr>
        <w:t xml:space="preserve">等（Phase</w:t>
      </w:r>
      <w:r>
        <w:t xml:space="preserve"> 4 </w:t>
      </w:r>
      <w:r>
        <w:rPr>
          <w:rFonts w:hint="eastAsia"/>
        </w:rPr>
        <w:t xml:space="preserve">で精査）</w:t>
      </w:r>
    </w:p>
    <w:p>
      <w:pPr>
        <w:pStyle w:val="Compact"/>
        <w:numPr>
          <w:ilvl w:val="0"/>
          <w:numId w:val="1034"/>
        </w:numPr>
      </w:pPr>
      <w:r>
        <w:t xml:space="preserve">lncRNA turnover </w:t>
      </w:r>
      <w:r>
        <w:rPr>
          <w:rFonts w:hint="eastAsia"/>
        </w:rPr>
        <w:t xml:space="preserve">の総説</w:t>
      </w:r>
      <w:r>
        <w:t xml:space="preserve"> — TiBS </w:t>
      </w:r>
      <w:r>
        <w:rPr>
          <w:rFonts w:hint="eastAsia"/>
        </w:rPr>
        <w:t xml:space="preserve">投稿中の自著総説（採択済の場合は引用、未定の場合は省略）</w:t>
      </w:r>
    </w:p>
    <w:p>
      <w:pPr>
        <w:pStyle w:val="FirstParagraph"/>
      </w:pPr>
      <w:r>
        <w:rPr>
          <w:b/>
          <w:bCs/>
        </w:rPr>
        <w:t xml:space="preserve">TODO (Phase 4)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t xml:space="preserve">Tani 2012 の journal / volume / pages を PubMed </w:t>
      </w:r>
      <w:r>
        <w:rPr>
          <w:rFonts w:hint="eastAsia"/>
        </w:rPr>
        <w:t xml:space="preserve">で固定</w:t>
      </w:r>
    </w:p>
    <w:p>
      <w:pPr>
        <w:pStyle w:val="Compact"/>
        <w:numPr>
          <w:ilvl w:val="0"/>
          <w:numId w:val="1036"/>
        </w:numPr>
      </w:pPr>
      <w:r>
        <w:t xml:space="preserve">Herzog 2017 の exact cell </w:t>
      </w:r>
      <w:r>
        <w:rPr>
          <w:rFonts w:hint="eastAsia"/>
        </w:rPr>
        <w:t xml:space="preserve">line（mESC</w:t>
      </w:r>
      <w:r>
        <w:t xml:space="preserve"> E14 </w:t>
      </w:r>
      <w:r>
        <w:rPr>
          <w:rFonts w:hint="eastAsia"/>
        </w:rPr>
        <w:t xml:space="preserve">など）を論文</w:t>
      </w:r>
      <w:r>
        <w:t xml:space="preserve"> Methods </w:t>
      </w:r>
      <w:r>
        <w:rPr>
          <w:rFonts w:hint="eastAsia"/>
        </w:rPr>
        <w:t xml:space="preserve">から確認</w:t>
      </w:r>
    </w:p>
    <w:p>
      <w:pPr>
        <w:pStyle w:val="Compact"/>
        <w:numPr>
          <w:ilvl w:val="0"/>
          <w:numId w:val="1037"/>
        </w:numPr>
      </w:pPr>
      <w:r>
        <w:t xml:space="preserve">Schofield 2018 の OsO4 </w:t>
      </w:r>
      <w:r>
        <w:rPr>
          <w:rFonts w:hint="eastAsia"/>
        </w:rPr>
        <w:t xml:space="preserve">化学の図解（自作</w:t>
      </w:r>
      <w:r>
        <w:t xml:space="preserve"> or </w:t>
      </w:r>
      <w:r>
        <w:rPr>
          <w:rFonts w:hint="eastAsia"/>
        </w:rPr>
        <w:t xml:space="preserve">引用）を</w:t>
      </w:r>
      <w:r>
        <w:t xml:space="preserve"> Fig. X </w:t>
      </w:r>
      <w:r>
        <w:rPr>
          <w:rFonts w:hint="eastAsia"/>
        </w:rPr>
        <w:t xml:space="preserve">として配置するか検討</w:t>
      </w:r>
    </w:p>
    <w:p>
      <w:pPr>
        <w:pStyle w:val="Compact"/>
        <w:numPr>
          <w:ilvl w:val="0"/>
          <w:numId w:val="1038"/>
        </w:numPr>
      </w:pPr>
      <w:r>
        <w:t xml:space="preserve">§3.2 </w:t>
      </w:r>
      <w:r>
        <w:rPr>
          <w:rFonts w:hint="eastAsia"/>
        </w:rPr>
        <w:t xml:space="preserve">の手法比較テーブルを本文表として入れるか、Supplementary</w:t>
      </w:r>
      <w:r>
        <w:t xml:space="preserve"> </w:t>
      </w:r>
      <w:r>
        <w:rPr>
          <w:rFonts w:hint="eastAsia"/>
        </w:rPr>
        <w:t xml:space="preserve">に送るか</w:t>
      </w:r>
      <w:r>
        <w:t xml:space="preserve"> Phase 4 </w:t>
      </w:r>
      <w:r>
        <w:rPr>
          <w:rFonts w:hint="eastAsia"/>
        </w:rPr>
        <w:t xml:space="preserve">で決定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自著</w:t>
      </w:r>
      <w:r>
        <w:t xml:space="preserve"> BRIC-seq </w:t>
      </w:r>
      <w:r>
        <w:rPr>
          <w:rFonts w:hint="eastAsia"/>
        </w:rPr>
        <w:t xml:space="preserve">への言及</w:t>
      </w:r>
      <w:r>
        <w:t xml:space="preserve"> </w:t>
      </w:r>
      <w:r>
        <w:t xml:space="preserve">“I developed”</w:t>
      </w:r>
      <w:r>
        <w:t xml:space="preserve"> </w:t>
      </w:r>
      <w:r>
        <w:t xml:space="preserve">vs</w:t>
      </w:r>
      <w:r>
        <w:t xml:space="preserve"> </w:t>
      </w:r>
      <w:r>
        <w:t xml:space="preserve">“was developed by the present author”</w:t>
      </w:r>
      <w:r>
        <w:t xml:space="preserve"> </w:t>
      </w:r>
      <w:r>
        <w:rPr>
          <w:rFonts w:hint="eastAsia"/>
        </w:rPr>
        <w:t xml:space="preserve">の表現調整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ross-section-consistency-notes"/>
    <w:p>
      <w:pPr>
        <w:pStyle w:val="Heading2"/>
      </w:pPr>
      <w:r>
        <w:t xml:space="preserve">Cross-section consistency notes</w:t>
      </w:r>
    </w:p>
    <w:p>
      <w:pPr>
        <w:pStyle w:val="FirstParagraph"/>
      </w:pPr>
      <w:r>
        <w:t xml:space="preserve">Phase 4 </w:t>
      </w:r>
      <w:r>
        <w:rPr>
          <w:rFonts w:hint="eastAsia"/>
        </w:rPr>
        <w:t xml:space="preserve">以降で本</w:t>
      </w:r>
      <w:r>
        <w:t xml:space="preserve"> skeleton </w:t>
      </w:r>
      <w:r>
        <w:rPr>
          <w:rFonts w:hint="eastAsia"/>
        </w:rPr>
        <w:t xml:space="preserve">を本文化するときに守る一貫性ルール: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5モデルの呼称は</w:t>
      </w:r>
      <w:r>
        <w:t xml:space="preserve"> Table 1 </w:t>
      </w:r>
      <w:r>
        <w:rPr>
          <w:rFonts w:hint="eastAsia"/>
        </w:rPr>
        <w:t xml:space="preserve">の正式表記（RNA-FM,</w:t>
      </w:r>
      <w:r>
        <w:t xml:space="preserve"> RiNALMo, Evo, RhoFold+, </w:t>
      </w:r>
      <w:r>
        <w:rPr>
          <w:rFonts w:hint="eastAsia"/>
        </w:rPr>
        <w:t xml:space="preserve">DeepLncLoc）で統一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3データセットの呼称は</w:t>
      </w:r>
      <w:r>
        <w:t xml:space="preserve"> BRIC-seq (HeLa) / SLAM-seq (mESC) / TimeLapse-seq (MEF, K562) </w:t>
      </w:r>
      <w:r>
        <w:rPr>
          <w:rFonts w:hint="eastAsia"/>
        </w:rPr>
        <w:t xml:space="preserve">で統一</w:t>
      </w:r>
      <w:r>
        <w:t xml:space="preserve"> </w:t>
      </w:r>
      <w:r>
        <w:t xml:space="preserve">— SLAM-seq と TimeLapse-seq </w:t>
      </w:r>
      <w:r>
        <w:rPr>
          <w:rFonts w:hint="eastAsia"/>
        </w:rPr>
        <w:t xml:space="preserve">を混同しない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盲点命題</w:t>
      </w:r>
      <w:r>
        <w:t xml:space="preserve"> </w:t>
      </w:r>
      <w:r>
        <w:rPr>
          <w:rFonts w:hint="eastAsia"/>
        </w:rPr>
        <w:t xml:space="preserve">A（静的</w:t>
      </w:r>
      <w:r>
        <w:t xml:space="preserve"> AI は turnover </w:t>
      </w:r>
      <w:r>
        <w:rPr>
          <w:rFonts w:hint="eastAsia"/>
        </w:rPr>
        <w:t xml:space="preserve">を表現しない）→</w:t>
      </w:r>
      <w:r>
        <w:t xml:space="preserve"> </w:t>
      </w:r>
      <w:r>
        <w:rPr>
          <w:rFonts w:hint="eastAsia"/>
        </w:rPr>
        <w:t xml:space="preserve">構築命題</w:t>
      </w:r>
      <w:r>
        <w:t xml:space="preserve"> </w:t>
      </w:r>
      <w:r>
        <w:rPr>
          <w:rFonts w:hint="eastAsia"/>
        </w:rPr>
        <w:t xml:space="preserve">C（dynamic</w:t>
      </w:r>
      <w:r>
        <w:t xml:space="preserve"> </w:t>
      </w:r>
      <w:r>
        <w:rPr>
          <w:rFonts w:hint="eastAsia"/>
        </w:rPr>
        <w:t xml:space="preserve">grounding）→</w:t>
      </w:r>
      <w:r>
        <w:t xml:space="preserve"> </w:t>
      </w:r>
      <w:r>
        <w:rPr>
          <w:rFonts w:hint="eastAsia"/>
        </w:rPr>
        <w:t xml:space="preserve">評価命題</w:t>
      </w:r>
      <w:r>
        <w:t xml:space="preserve"> </w:t>
      </w:r>
      <w:r>
        <w:rPr>
          <w:rFonts w:hint="eastAsia"/>
        </w:rPr>
        <w:t xml:space="preserve">D（tiered</w:t>
      </w:r>
      <w:r>
        <w:t xml:space="preserve"> </w:t>
      </w:r>
      <w:r>
        <w:rPr>
          <w:rFonts w:hint="eastAsia"/>
        </w:rPr>
        <w:t xml:space="preserve">evaluation）の論理順序を</w:t>
      </w:r>
      <w:r>
        <w:t xml:space="preserve"> §1 → §6 → §7 </w:t>
      </w:r>
      <w:r>
        <w:rPr>
          <w:rFonts w:hint="eastAsia"/>
        </w:rPr>
        <w:t xml:space="preserve">で段階的に展開</w:t>
      </w:r>
    </w:p>
    <w:p>
      <w:pPr>
        <w:pStyle w:val="Compact"/>
        <w:numPr>
          <w:ilvl w:val="0"/>
          <w:numId w:val="1040"/>
        </w:numPr>
      </w:pPr>
      <w:r>
        <w:t xml:space="preserve">AUROC / Spearman ρ / RMSE </w:t>
      </w:r>
      <w:r>
        <w:rPr>
          <w:rFonts w:hint="eastAsia"/>
        </w:rPr>
        <w:t xml:space="preserve">などの数値は全て</w:t>
      </w:r>
      <w:r>
        <w:t xml:space="preserve"> </w:t>
      </w:r>
      <w:r>
        <w:rPr>
          <w:rStyle w:val="VerbatimChar"/>
        </w:rPr>
        <w:t xml:space="preserve">benchmark/results/metrics_summary.csv</w:t>
      </w:r>
      <w:r>
        <w:t xml:space="preserve"> </w:t>
      </w:r>
      <w:r>
        <w:t xml:space="preserve">から</w:t>
      </w:r>
      <w:r>
        <w:t xml:space="preserve"> </w:t>
      </w:r>
      <w:r>
        <w:rPr>
          <w:rFonts w:hint="eastAsia"/>
        </w:rPr>
        <w:t xml:space="preserve">転記する。本文中に数値を書くときは出典ファイル名をコメントで残す</w:t>
      </w:r>
    </w:p>
    <w:p>
      <w:pPr>
        <w:pStyle w:val="Compact"/>
        <w:numPr>
          <w:ilvl w:val="0"/>
          <w:numId w:val="1040"/>
        </w:numPr>
      </w:pPr>
      <w:r>
        <w:t xml:space="preserve">Figure </w:t>
      </w:r>
      <w:r>
        <w:rPr>
          <w:rFonts w:hint="eastAsia"/>
        </w:rPr>
        <w:t xml:space="preserve">番号:</w:t>
      </w:r>
      <w:r>
        <w:t xml:space="preserve"> Fig.1 (BioRender concept), Fig.2 (AUROC heatmap), Fig.3 (scatter), Fig.4 (failure),</w:t>
      </w:r>
      <w:r>
        <w:t xml:space="preserve"> </w:t>
      </w:r>
      <w:r>
        <w:t xml:space="preserve">Fig.5 (BioRender framework) </w:t>
      </w:r>
      <w:r>
        <w:rPr>
          <w:rFonts w:hint="eastAsia"/>
        </w:rPr>
        <w:t xml:space="preserve">を本文中の言及順と一致させる</w:t>
      </w:r>
    </w:p>
    <w:p>
      <w:r>
        <w:pict>
          <v:rect style="width:0;height:1.5pt" o:hralign="center" o:hrstd="t" o:hr="t"/>
        </w:pict>
      </w:r>
    </w:p>
    <w:bookmarkEnd w:id="29"/>
    <w:bookmarkStart w:id="30" w:name="next-actions-phase-4-入り口"/>
    <w:p>
      <w:pPr>
        <w:pStyle w:val="Heading2"/>
      </w:pPr>
      <w:r>
        <w:t xml:space="preserve">Next actions (Phase 4 </w:t>
      </w:r>
      <w:r>
        <w:rPr>
          <w:rFonts w:hint="eastAsia"/>
        </w:rPr>
        <w:t xml:space="preserve">入り口)</w:t>
      </w:r>
    </w:p>
    <w:p>
      <w:pPr>
        <w:pStyle w:val="FirstParagraph"/>
      </w:pPr>
      <w:r>
        <w:t xml:space="preserve">Phase 2 </w:t>
      </w:r>
      <w:r>
        <w:rPr>
          <w:rFonts w:hint="eastAsia"/>
        </w:rPr>
        <w:t xml:space="preserve">実行後、</w:t>
      </w:r>
      <w:r>
        <w:rPr>
          <w:rStyle w:val="VerbatimChar"/>
        </w:rPr>
        <w:t xml:space="preserve">benchmark/results/metrics_summary.csv</w:t>
      </w:r>
      <w:r>
        <w:t xml:space="preserve"> </w:t>
      </w:r>
      <w:r>
        <w:rPr>
          <w:rFonts w:hint="eastAsia"/>
        </w:rPr>
        <w:t xml:space="preserve">の数値を受けて本</w:t>
      </w:r>
      <w:r>
        <w:t xml:space="preserve"> skeleton </w:t>
      </w:r>
      <w:r>
        <w:rPr>
          <w:rFonts w:hint="eastAsia"/>
        </w:rPr>
        <w:t xml:space="preserve">を本文化する。</w:t>
      </w:r>
      <w:r>
        <w:t xml:space="preserve"> </w:t>
      </w:r>
      <w:r>
        <w:t xml:space="preserve">§4 benchmarking results (2,000 words) </w:t>
      </w:r>
      <w:r>
        <w:rPr>
          <w:rFonts w:hint="eastAsia"/>
        </w:rPr>
        <w:t xml:space="preserve">から書き始める（Task</w:t>
      </w:r>
      <w:r>
        <w:t xml:space="preserve"> </w:t>
      </w:r>
      <w:r>
        <w:rPr>
          <w:rFonts w:hint="eastAsia"/>
        </w:rPr>
        <w:t xml:space="preserve">4.1）。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99832">
    <w:nsid w:val="00A99832"/>
    <w:multiLevelType w:val="multilevel"/>
    <w:lvl w:ilvl="0">
      <w:start w:val="2"/>
      <w:numFmt w:val="upperLetter"/>
      <w:lvlText w:val="(%1)"/>
      <w:lvlJc w:val="left"/>
      <w:pPr>
        <w:ind w:left="720" w:hanging="360"/>
      </w:pPr>
    </w:lvl>
    <w:lvl w:ilvl="1">
      <w:start w:val="2"/>
      <w:numFmt w:val="upperLetter"/>
      <w:lvlText w:val="(%2)"/>
      <w:lvlJc w:val="left"/>
      <w:pPr>
        <w:ind w:left="1440" w:hanging="360"/>
      </w:pPr>
    </w:lvl>
    <w:lvl w:ilvl="2">
      <w:start w:val="2"/>
      <w:numFmt w:val="upperLetter"/>
      <w:lvlText w:val="(%3)"/>
      <w:lvlJc w:val="left"/>
      <w:pPr>
        <w:ind w:left="2160" w:hanging="360"/>
      </w:pPr>
    </w:lvl>
    <w:lvl w:ilvl="3">
      <w:start w:val="2"/>
      <w:numFmt w:val="upperLetter"/>
      <w:lvlText w:val="(%4)"/>
      <w:lvlJc w:val="left"/>
      <w:pPr>
        <w:ind w:left="2880" w:hanging="360"/>
      </w:pPr>
    </w:lvl>
    <w:lvl w:ilvl="4">
      <w:start w:val="2"/>
      <w:numFmt w:val="upperLetter"/>
      <w:lvlText w:val="(%5)"/>
      <w:lvlJc w:val="left"/>
      <w:pPr>
        <w:ind w:left="3600" w:hanging="360"/>
      </w:pPr>
    </w:lvl>
    <w:lvl w:ilvl="5">
      <w:start w:val="2"/>
      <w:numFmt w:val="upperLetter"/>
      <w:lvlText w:val="(%6)"/>
      <w:lvlJc w:val="left"/>
      <w:pPr>
        <w:ind w:left="4320" w:hanging="360"/>
      </w:pPr>
    </w:lvl>
    <w:lvl w:ilvl="6">
      <w:start w:val="2"/>
      <w:numFmt w:val="upperLetter"/>
      <w:lvlText w:val="(%7)"/>
      <w:lvlJc w:val="left"/>
      <w:pPr>
        <w:ind w:left="5040" w:hanging="360"/>
      </w:pPr>
    </w:lvl>
    <w:lvl w:ilvl="7">
      <w:start w:val="2"/>
      <w:numFmt w:val="upperLetter"/>
      <w:lvlText w:val="(%8)"/>
      <w:lvlJc w:val="left"/>
      <w:pPr>
        <w:ind w:left="5760" w:hanging="360"/>
      </w:pPr>
    </w:lvl>
    <w:lvl w:ilvl="8">
      <w:start w:val="2"/>
      <w:numFmt w:val="upperLetter"/>
      <w:lvlText w:val="(%9)"/>
      <w:lvlJc w:val="left"/>
      <w:pPr>
        <w:ind w:left="6480" w:hanging="360"/>
      </w:pPr>
    </w:lvl>
  </w:abstractNum>
  <w:abstractNum w:abstractNumId="99833">
    <w:nsid w:val="00A99833"/>
    <w:multiLevelType w:val="multilevel"/>
    <w:lvl w:ilvl="0">
      <w:start w:val="3"/>
      <w:numFmt w:val="upperLetter"/>
      <w:lvlText w:val="(%1)"/>
      <w:lvlJc w:val="left"/>
      <w:pPr>
        <w:ind w:left="720" w:hanging="360"/>
      </w:pPr>
    </w:lvl>
    <w:lvl w:ilvl="1">
      <w:start w:val="3"/>
      <w:numFmt w:val="upperLetter"/>
      <w:lvlText w:val="(%2)"/>
      <w:lvlJc w:val="left"/>
      <w:pPr>
        <w:ind w:left="1440" w:hanging="360"/>
      </w:pPr>
    </w:lvl>
    <w:lvl w:ilvl="2">
      <w:start w:val="3"/>
      <w:numFmt w:val="upperLetter"/>
      <w:lvlText w:val="(%3)"/>
      <w:lvlJc w:val="left"/>
      <w:pPr>
        <w:ind w:left="2160" w:hanging="360"/>
      </w:pPr>
    </w:lvl>
    <w:lvl w:ilvl="3">
      <w:start w:val="3"/>
      <w:numFmt w:val="upperLetter"/>
      <w:lvlText w:val="(%4)"/>
      <w:lvlJc w:val="left"/>
      <w:pPr>
        <w:ind w:left="2880" w:hanging="360"/>
      </w:pPr>
    </w:lvl>
    <w:lvl w:ilvl="4">
      <w:start w:val="3"/>
      <w:numFmt w:val="upperLetter"/>
      <w:lvlText w:val="(%5)"/>
      <w:lvlJc w:val="left"/>
      <w:pPr>
        <w:ind w:left="3600" w:hanging="360"/>
      </w:pPr>
    </w:lvl>
    <w:lvl w:ilvl="5">
      <w:start w:val="3"/>
      <w:numFmt w:val="upperLetter"/>
      <w:lvlText w:val="(%6)"/>
      <w:lvlJc w:val="left"/>
      <w:pPr>
        <w:ind w:left="4320" w:hanging="360"/>
      </w:pPr>
    </w:lvl>
    <w:lvl w:ilvl="6">
      <w:start w:val="3"/>
      <w:numFmt w:val="upperLetter"/>
      <w:lvlText w:val="(%7)"/>
      <w:lvlJc w:val="left"/>
      <w:pPr>
        <w:ind w:left="5040" w:hanging="360"/>
      </w:pPr>
    </w:lvl>
    <w:lvl w:ilvl="7">
      <w:start w:val="3"/>
      <w:numFmt w:val="upperLetter"/>
      <w:lvlText w:val="(%8)"/>
      <w:lvlJc w:val="left"/>
      <w:pPr>
        <w:ind w:left="5760" w:hanging="360"/>
      </w:pPr>
    </w:lvl>
    <w:lvl w:ilvl="8">
      <w:start w:val="3"/>
      <w:numFmt w:val="upperLetter"/>
      <w:lvlText w:val="(%9)"/>
      <w:lvlJc w:val="left"/>
      <w:pPr>
        <w:ind w:left="6480" w:hanging="360"/>
      </w:pPr>
    </w:lvl>
  </w:abstractNum>
  <w:abstractNum w:abstractNumId="99834">
    <w:nsid w:val="00A99834"/>
    <w:multiLevelType w:val="multilevel"/>
    <w:lvl w:ilvl="0">
      <w:start w:val="4"/>
      <w:numFmt w:val="upperLetter"/>
      <w:lvlText w:val="(%1)"/>
      <w:lvlJc w:val="left"/>
      <w:pPr>
        <w:ind w:left="720" w:hanging="360"/>
      </w:pPr>
    </w:lvl>
    <w:lvl w:ilvl="1">
      <w:start w:val="4"/>
      <w:numFmt w:val="upperLetter"/>
      <w:lvlText w:val="(%2)"/>
      <w:lvlJc w:val="left"/>
      <w:pPr>
        <w:ind w:left="1440" w:hanging="360"/>
      </w:pPr>
    </w:lvl>
    <w:lvl w:ilvl="2">
      <w:start w:val="4"/>
      <w:numFmt w:val="upperLetter"/>
      <w:lvlText w:val="(%3)"/>
      <w:lvlJc w:val="left"/>
      <w:pPr>
        <w:ind w:left="2160" w:hanging="360"/>
      </w:pPr>
    </w:lvl>
    <w:lvl w:ilvl="3">
      <w:start w:val="4"/>
      <w:numFmt w:val="upperLetter"/>
      <w:lvlText w:val="(%4)"/>
      <w:lvlJc w:val="left"/>
      <w:pPr>
        <w:ind w:left="2880" w:hanging="360"/>
      </w:pPr>
    </w:lvl>
    <w:lvl w:ilvl="4">
      <w:start w:val="4"/>
      <w:numFmt w:val="upperLetter"/>
      <w:lvlText w:val="(%5)"/>
      <w:lvlJc w:val="left"/>
      <w:pPr>
        <w:ind w:left="3600" w:hanging="360"/>
      </w:pPr>
    </w:lvl>
    <w:lvl w:ilvl="5">
      <w:start w:val="4"/>
      <w:numFmt w:val="upperLetter"/>
      <w:lvlText w:val="(%6)"/>
      <w:lvlJc w:val="left"/>
      <w:pPr>
        <w:ind w:left="4320" w:hanging="360"/>
      </w:pPr>
    </w:lvl>
    <w:lvl w:ilvl="6">
      <w:start w:val="4"/>
      <w:numFmt w:val="upperLetter"/>
      <w:lvlText w:val="(%7)"/>
      <w:lvlJc w:val="left"/>
      <w:pPr>
        <w:ind w:left="5040" w:hanging="360"/>
      </w:pPr>
    </w:lvl>
    <w:lvl w:ilvl="7">
      <w:start w:val="4"/>
      <w:numFmt w:val="upperLetter"/>
      <w:lvlText w:val="(%8)"/>
      <w:lvlJc w:val="left"/>
      <w:pPr>
        <w:ind w:left="5760" w:hanging="360"/>
      </w:pPr>
    </w:lvl>
    <w:lvl w:ilvl="8">
      <w:start w:val="4"/>
      <w:numFmt w:val="upperLetter"/>
      <w:lvlText w:val="(%9)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2026-04-20T01:51:42Z</dcterms:created>
  <dcterms:modified xsi:type="dcterms:W3CDTF">2026-04-20T01:51:42Z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