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e39dff1f8763793561d4b699167181c124be3a"/>
    <w:p>
      <w:pPr>
        <w:pStyle w:val="Heading1"/>
      </w:pPr>
      <w:r>
        <w:t xml:space="preserve">Grounding RNA foundation models in transcript dynamics</w:t>
      </w:r>
    </w:p>
    <w:p>
      <w:pPr>
        <w:pStyle w:val="FirstParagraph"/>
      </w:pPr>
      <w:r>
        <w:rPr>
          <w:b/>
          <w:bCs/>
        </w:rPr>
        <w:t xml:space="preserve">Hidenori Tani</w:t>
      </w:r>
      <w:r>
        <w:t xml:space="preserve">^1,*</w:t>
      </w:r>
    </w:p>
    <w:p>
      <w:pPr>
        <w:pStyle w:val="BodyText"/>
      </w:pPr>
      <w:r>
        <w:t xml:space="preserve">^1 Department of Molecular Biology, Yokohama University of Pharmaceutical Sciences, 601 Matano-cho, Totsuka-ku, Yokohama, Kanagawa 245-0066, Japan</w:t>
      </w:r>
    </w:p>
    <w:p>
      <w:pPr>
        <w:pStyle w:val="BodyText"/>
      </w:pPr>
      <w:r>
        <w:t xml:space="preserve">* Corresponding author. hidenori.tani@yok.hamayaku.ac.jp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Long non-coding RNAs (lncRNAs) outnumber annotated protein-coding genes yet remain</w:t>
      </w:r>
      <w:r>
        <w:t xml:space="preserve"> </w:t>
      </w:r>
      <w:r>
        <w:t xml:space="preserve">one of the most functionally opaque classes of transcripts, and a wave of RNA</w:t>
      </w:r>
      <w:r>
        <w:t xml:space="preserve"> </w:t>
      </w:r>
      <w:r>
        <w:t xml:space="preserve">foundation models promises to read function directly from sequence. Using transcript</w:t>
      </w:r>
      <w:r>
        <w:t xml:space="preserve"> </w:t>
      </w:r>
      <w:r>
        <w:t xml:space="preserve">half-life as a concrete functional axis, we benchmark five lncRNA-relevant</w:t>
      </w:r>
      <w:r>
        <w:t xml:space="preserve"> </w:t>
      </w:r>
      <w:r>
        <w:t xml:space="preserve">representation classes — two models tested directly and three model families</w:t>
      </w:r>
      <w:r>
        <w:t xml:space="preserve"> </w:t>
      </w:r>
      <w:r>
        <w:t xml:space="preserve">approximated by tractable proxies — against measured RNA turnover across four</w:t>
      </w:r>
      <w:r>
        <w:t xml:space="preserve"> </w:t>
      </w:r>
      <w:r>
        <w:t xml:space="preserve">mammalian cell contexts, covering 256 GENCODE v44 lncRNAs with transcriptome-wide</w:t>
      </w:r>
      <w:r>
        <w:t xml:space="preserve"> </w:t>
      </w:r>
      <w:r>
        <w:t xml:space="preserve">half-life measurements. In this benchmark, none of the tested or proxy-evaluated</w:t>
      </w:r>
      <w:r>
        <w:t xml:space="preserve"> </w:t>
      </w:r>
      <w:r>
        <w:t xml:space="preserve">representations exceeded AUROC 0.70 or supported robust continuous regression, and</w:t>
      </w:r>
      <w:r>
        <w:t xml:space="preserve"> </w:t>
      </w:r>
      <w:r>
        <w:t xml:space="preserve">all performed similarly to simple k-mer composition baselines; performance on</w:t>
      </w:r>
      <w:r>
        <w:t xml:space="preserve"> </w:t>
      </w:r>
      <w:r>
        <w:t xml:space="preserve">transcripts with documented dynamic regulation was systematically weak. We</w:t>
      </w:r>
      <w:r>
        <w:t xml:space="preserve"> </w:t>
      </w:r>
      <w:r>
        <w:t xml:space="preserve">interpret this shared ceiling as evidence of an</w:t>
      </w:r>
      <w:r>
        <w:t xml:space="preserve"> </w:t>
      </w:r>
      <w:r>
        <w:rPr>
          <w:i/>
          <w:iCs/>
        </w:rPr>
        <w:t xml:space="preserve">observability gap</w:t>
      </w:r>
      <w:r>
        <w:t xml:space="preserve"> </w:t>
      </w:r>
      <w:r>
        <w:t xml:space="preserve">between the</w:t>
      </w:r>
      <w:r>
        <w:t xml:space="preserve"> </w:t>
      </w:r>
      <w:r>
        <w:t xml:space="preserve">static pretraining signal available to sequence-only models and the dynamic cellular</w:t>
      </w:r>
      <w:r>
        <w:t xml:space="preserve"> </w:t>
      </w:r>
      <w:r>
        <w:t xml:space="preserve">state on which lncRNA function most clearly depends. We introduce</w:t>
      </w:r>
      <w:r>
        <w:t xml:space="preserve"> </w:t>
      </w:r>
      <w:r>
        <w:rPr>
          <w:i/>
          <w:iCs/>
        </w:rPr>
        <w:t xml:space="preserve">dynamic</w:t>
      </w:r>
      <w:r>
        <w:rPr>
          <w:i/>
          <w:iCs/>
        </w:rPr>
        <w:t xml:space="preserve"> </w:t>
      </w:r>
      <w:r>
        <w:rPr>
          <w:i/>
          <w:iCs/>
        </w:rPr>
        <w:t xml:space="preserve">grounding</w:t>
      </w:r>
      <w:r>
        <w:t xml:space="preserve"> </w:t>
      </w:r>
      <w:r>
        <w:t xml:space="preserve">— a model-agnostic, post-hoc conditioning of static predictions on</w:t>
      </w:r>
      <w:r>
        <w:t xml:space="preserve"> </w:t>
      </w:r>
      <w:r>
        <w:t xml:space="preserve">orthogonal measured state variables such as turnover and localisation — and</w:t>
      </w:r>
      <w:r>
        <w:t xml:space="preserve"> </w:t>
      </w:r>
      <w:r>
        <w:t xml:space="preserve">advocate a tiered static × dynamic evaluation standard for foundation models whose</w:t>
      </w:r>
      <w:r>
        <w:t xml:space="preserve"> </w:t>
      </w:r>
      <w:r>
        <w:t xml:space="preserve">evaluation labels depend on unobserved state.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Long non-coding RNAs (lncRNAs) outnumber annotated protein-coding genes in the human</w:t>
      </w:r>
      <w:r>
        <w:t xml:space="preserve"> </w:t>
      </w:r>
      <w:r>
        <w:t xml:space="preserve">genome, yet they remain the most functionally opaque class of transcripts. For proteins, sequence</w:t>
      </w:r>
      <w:r>
        <w:t xml:space="preserve"> </w:t>
      </w:r>
      <w:r>
        <w:t xml:space="preserve">now increasingly predicts structure, and structure increasingly predicts</w:t>
      </w:r>
      <w:r>
        <w:t xml:space="preserve"> </w:t>
      </w:r>
      <w:r>
        <w:t xml:space="preserve">function</w:t>
      </w:r>
      <w:r>
        <w:rPr>
          <w:vertAlign w:val="superscript"/>
        </w:rPr>
        <w:t xml:space="preserve">1,2</w:t>
      </w:r>
      <w:r>
        <w:t xml:space="preserve">. For lncRNAs, neither implication holds reliably: primary sequence rarely</w:t>
      </w:r>
      <w:r>
        <w:t xml:space="preserve"> </w:t>
      </w:r>
      <w:r>
        <w:t xml:space="preserve">predicts secondary structure with useful accuracy, and structure predicts function only</w:t>
      </w:r>
      <w:r>
        <w:t xml:space="preserve"> </w:t>
      </w:r>
      <w:r>
        <w:t xml:space="preserve">in a handful of well-characterised cases such as NEAT1, an architectural lncRNA</w:t>
      </w:r>
      <w:r>
        <w:t xml:space="preserve"> </w:t>
      </w:r>
      <w:r>
        <w:t xml:space="preserve">central to paraspeckle biology</w:t>
      </w:r>
      <w:r>
        <w:rPr>
          <w:vertAlign w:val="superscript"/>
        </w:rPr>
        <w:t xml:space="preserve">3</w:t>
      </w:r>
      <w:r>
        <w:t xml:space="preserve">, and XIST, which guides chromatin modification on the inactive X</w:t>
      </w:r>
      <w:r>
        <w:t xml:space="preserve"> </w:t>
      </w:r>
      <w:r>
        <w:t xml:space="preserve">chromosome</w:t>
      </w:r>
      <w:r>
        <w:rPr>
          <w:vertAlign w:val="superscript"/>
        </w:rPr>
        <w:t xml:space="preserve">4</w:t>
      </w:r>
      <w:r>
        <w:t xml:space="preserve">. The gulf between sequence and function motivates an alternative</w:t>
      </w:r>
      <w:r>
        <w:t xml:space="preserve"> </w:t>
      </w:r>
      <w:r>
        <w:t xml:space="preserve">framing: can deep learning read lncRNA function directly from nucleotide sequence?</w:t>
      </w:r>
    </w:p>
    <w:p>
      <w:pPr>
        <w:pStyle w:val="BodyText"/>
      </w:pPr>
      <w:r>
        <w:t xml:space="preserve">The past three years have seen an explosion of RNA-centric foundation models built on</w:t>
      </w:r>
      <w:r>
        <w:t xml:space="preserve"> </w:t>
      </w:r>
      <w:r>
        <w:t xml:space="preserve">this premise. RNA-FM</w:t>
      </w:r>
      <w:r>
        <w:rPr>
          <w:vertAlign w:val="superscript"/>
        </w:rPr>
        <w:t xml:space="preserve">5</w:t>
      </w:r>
      <w:r>
        <w:t xml:space="preserve"> </w:t>
      </w:r>
      <w:r>
        <w:t xml:space="preserve">adapted BERT-style masked-language pretraining to 23 million</w:t>
      </w:r>
      <w:r>
        <w:t xml:space="preserve"> </w:t>
      </w:r>
      <w:r>
        <w:t xml:space="preserve">non-coding RNA sequences. RiNALMo</w:t>
      </w:r>
      <w:r>
        <w:rPr>
          <w:vertAlign w:val="superscript"/>
        </w:rPr>
        <w:t xml:space="preserve">6</w:t>
      </w:r>
      <w:r>
        <w:t xml:space="preserve"> </w:t>
      </w:r>
      <w:r>
        <w:t xml:space="preserve">scaled this recipe to 650 million parameters and</w:t>
      </w:r>
      <w:r>
        <w:t xml:space="preserve"> </w:t>
      </w:r>
      <w:r>
        <w:t xml:space="preserve">36 million sequences. Genomic language models such as Evo</w:t>
      </w:r>
      <w:r>
        <w:rPr>
          <w:vertAlign w:val="superscript"/>
        </w:rPr>
        <w:t xml:space="preserve">7</w:t>
      </w:r>
      <w:r>
        <w:t xml:space="preserve"> </w:t>
      </w:r>
      <w:r>
        <w:t xml:space="preserve">extended the paradigm to</w:t>
      </w:r>
      <w:r>
        <w:t xml:space="preserve"> </w:t>
      </w:r>
      <w:r>
        <w:t xml:space="preserve">7 billion parameters across DNA, RNA and phage genomes. Structure predictors such as</w:t>
      </w:r>
      <w:r>
        <w:t xml:space="preserve"> </w:t>
      </w:r>
      <w:r>
        <w:t xml:space="preserve">RhoFold+</w:t>
      </w:r>
      <w:r>
        <w:rPr>
          <w:vertAlign w:val="superscript"/>
        </w:rPr>
        <w:t xml:space="preserve">8</w:t>
      </w:r>
      <w:r>
        <w:t xml:space="preserve"> </w:t>
      </w:r>
      <w:r>
        <w:t xml:space="preserve">brought AlphaFold-style geometry to RNA, and task-specific networks such</w:t>
      </w:r>
      <w:r>
        <w:t xml:space="preserve"> </w:t>
      </w:r>
      <w:r>
        <w:t xml:space="preserve">as DeepLncLoc</w:t>
      </w:r>
      <w:r>
        <w:rPr>
          <w:vertAlign w:val="superscript"/>
        </w:rPr>
        <w:t xml:space="preserve">9</w:t>
      </w:r>
      <w:r>
        <w:t xml:space="preserve"> </w:t>
      </w:r>
      <w:r>
        <w:t xml:space="preserve">target individual lncRNA properties. A practitioner entering this</w:t>
      </w:r>
      <w:r>
        <w:t xml:space="preserve"> </w:t>
      </w:r>
      <w:r>
        <w:t xml:space="preserve">space today can therefore choose from a broad, publicly released toolkit of</w:t>
      </w:r>
      <w:r>
        <w:t xml:space="preserve"> </w:t>
      </w:r>
      <w:r>
        <w:t xml:space="preserve">sequence-to-function models.</w:t>
      </w:r>
    </w:p>
    <w:p>
      <w:pPr>
        <w:pStyle w:val="BodyText"/>
      </w:pPr>
      <w:r>
        <w:t xml:space="preserve">Yet when representations drawn from these models are asked to predict a concrete</w:t>
      </w:r>
      <w:r>
        <w:t xml:space="preserve"> </w:t>
      </w:r>
      <w:r>
        <w:t xml:space="preserve">functional readout for lncRNAs — how long a transcript survives in the cell — the</w:t>
      </w:r>
      <w:r>
        <w:t xml:space="preserve"> </w:t>
      </w:r>
      <w:r>
        <w:t xml:space="preserve">task turns out to be harder than the sequence-only framing would suggest. In the</w:t>
      </w:r>
      <w:r>
        <w:t xml:space="preserve"> </w:t>
      </w:r>
      <w:r>
        <w:t xml:space="preserve">benchmark presented here, none of the tested or proxy-evaluated representations</w:t>
      </w:r>
      <w:r>
        <w:t xml:space="preserve"> </w:t>
      </w:r>
      <w:r>
        <w:t xml:space="preserve">showed a reproducible advantage over simple k-mer baselines, and the transcripts on</w:t>
      </w:r>
      <w:r>
        <w:t xml:space="preserve"> </w:t>
      </w:r>
      <w:r>
        <w:t xml:space="preserve">which every representation failed shared a single qualitative feature: published</w:t>
      </w:r>
      <w:r>
        <w:t xml:space="preserve"> </w:t>
      </w:r>
      <w:r>
        <w:t xml:space="preserve">evidence of dynamic regulation.</w:t>
      </w:r>
    </w:p>
    <w:p>
      <w:pPr>
        <w:pStyle w:val="BodyText"/>
      </w:pPr>
      <w:r>
        <w:t xml:space="preserve">Rather than treat this as a negative result specific to lncRNA turnover, we argue</w:t>
      </w:r>
      <w:r>
        <w:t xml:space="preserve"> </w:t>
      </w:r>
      <w:r>
        <w:t xml:space="preserve">that it is a concrete instance of a broader issue in foundation-model evaluation.</w:t>
      </w:r>
      <w:r>
        <w:t xml:space="preserve"> </w:t>
      </w:r>
      <w:r>
        <w:t xml:space="preserve">The dynamic axes on which lncRNA function most clearly depends — transcript</w:t>
      </w:r>
      <w:r>
        <w:t xml:space="preserve"> </w:t>
      </w:r>
      <w:r>
        <w:t xml:space="preserve">turnover, subcellular localisation, condition-specific induction — are measurable</w:t>
      </w:r>
      <w:r>
        <w:t xml:space="preserve"> </w:t>
      </w:r>
      <w:r>
        <w:t xml:space="preserve">properties of the cellular state, not properties of the sequence, and they are</w:t>
      </w:r>
      <w:r>
        <w:t xml:space="preserve"> </w:t>
      </w:r>
      <w:r>
        <w:t xml:space="preserve">systematically absent from the pretraining corpora that modern RNA foundation</w:t>
      </w:r>
      <w:r>
        <w:t xml:space="preserve"> </w:t>
      </w:r>
      <w:r>
        <w:t xml:space="preserve">models learn from. We refer to this as an</w:t>
      </w:r>
      <w:r>
        <w:t xml:space="preserve"> </w:t>
      </w:r>
      <w:r>
        <w:rPr>
          <w:i/>
          <w:iCs/>
        </w:rPr>
        <w:t xml:space="preserve">observability gap</w:t>
      </w:r>
      <w:r>
        <w:t xml:space="preserve">: a systematic</w:t>
      </w:r>
      <w:r>
        <w:t xml:space="preserve"> </w:t>
      </w:r>
      <w:r>
        <w:t xml:space="preserve">mismatch between the variables observable at pretraining time and the variables</w:t>
      </w:r>
      <w:r>
        <w:t xml:space="preserve"> </w:t>
      </w:r>
      <w:r>
        <w:t xml:space="preserve">that determine downstream evaluation labels. Under such a mismatch, increasing</w:t>
      </w:r>
      <w:r>
        <w:t xml:space="preserve"> </w:t>
      </w:r>
      <w:r>
        <w:t xml:space="preserve">model capacity without enlarging the observed-variable set cannot recover the</w:t>
      </w:r>
      <w:r>
        <w:t xml:space="preserve"> </w:t>
      </w:r>
      <w:r>
        <w:t xml:space="preserve">missing signal. On that framing, this Perspective makes three connected</w:t>
      </w:r>
      <w:r>
        <w:t xml:space="preserve"> </w:t>
      </w:r>
      <w:r>
        <w:t xml:space="preserve">proposals: (i) observability gaps should be stated explicitly in foundation-model</w:t>
      </w:r>
      <w:r>
        <w:t xml:space="preserve"> </w:t>
      </w:r>
      <w:r>
        <w:t xml:space="preserve">documentation and benchmarking practice; (ii)</w:t>
      </w:r>
      <w:r>
        <w:t xml:space="preserve"> </w:t>
      </w:r>
      <w:r>
        <w:rPr>
          <w:i/>
          <w:iCs/>
        </w:rPr>
        <w:t xml:space="preserve">dynamic grounding</w:t>
      </w:r>
      <w:r>
        <w:t xml:space="preserve"> </w:t>
      </w:r>
      <w:r>
        <w:t xml:space="preserve">— post-hoc</w:t>
      </w:r>
      <w:r>
        <w:t xml:space="preserve"> </w:t>
      </w:r>
      <w:r>
        <w:t xml:space="preserve">conditioning on orthogonal measured state variables — is a natural mitigation</w:t>
      </w:r>
      <w:r>
        <w:t xml:space="preserve"> </w:t>
      </w:r>
      <w:r>
        <w:t xml:space="preserve">that does not require retraining; and (iii) a tiered static × dynamic evaluation</w:t>
      </w:r>
      <w:r>
        <w:t xml:space="preserve"> </w:t>
      </w:r>
      <w:r>
        <w:t xml:space="preserve">standard should become a minimum bar when evaluation labels depend on unobserved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For machine-learning practitioners, lncRNA stability thus serves as a concrete</w:t>
      </w:r>
      <w:r>
        <w:t xml:space="preserve"> </w:t>
      </w:r>
      <w:r>
        <w:t xml:space="preserve">case study of a general pattern: foundation models are increasingly evaluated on</w:t>
      </w:r>
      <w:r>
        <w:t xml:space="preserve"> </w:t>
      </w:r>
      <w:r>
        <w:t xml:space="preserve">labels that depend on latent state variables absent from their pretraining</w:t>
      </w:r>
      <w:r>
        <w:t xml:space="preserve"> </w:t>
      </w:r>
      <w:r>
        <w:t xml:space="preserve">corpora. Such gaps are best addressed with evaluation standards and post-hoc</w:t>
      </w:r>
      <w:r>
        <w:t xml:space="preserve"> </w:t>
      </w:r>
      <w:r>
        <w:t xml:space="preserve">conditioning schemes compatible with existing model weights, rather than deferred</w:t>
      </w:r>
      <w:r>
        <w:t xml:space="preserve"> </w:t>
      </w:r>
      <w:r>
        <w:t xml:space="preserve">to the next pretraining cycle.</w:t>
      </w:r>
    </w:p>
    <w:p>
      <w:pPr>
        <w:pStyle w:val="BodyText"/>
      </w:pPr>
      <w:r>
        <w:t xml:space="preserve">The empirical scope of this Perspective is deliberately narrow: lncRNA</w:t>
      </w:r>
      <w:r>
        <w:t xml:space="preserve"> </w:t>
      </w:r>
      <w:r>
        <w:rPr>
          <w:i/>
          <w:iCs/>
        </w:rPr>
        <w:t xml:space="preserve">stability</w:t>
      </w:r>
      <w:r>
        <w:t xml:space="preserve"> </w:t>
      </w:r>
      <w:r>
        <w:t xml:space="preserve">measured by half-life, as a single functional axis on which the argument can be</w:t>
      </w:r>
      <w:r>
        <w:t xml:space="preserve"> </w:t>
      </w:r>
      <w:r>
        <w:t xml:space="preserve">made concrete. Other functional tasks — interaction prediction, subcellular localisation,</w:t>
      </w:r>
      <w:r>
        <w:t xml:space="preserve"> </w:t>
      </w:r>
      <w:r>
        <w:t xml:space="preserve">expression-dynamics prediction — are beyond our primary benchmark but motivate the</w:t>
      </w:r>
      <w:r>
        <w:t xml:space="preserve"> </w:t>
      </w:r>
      <w:r>
        <w:t xml:space="preserve">framework proposed later.</w:t>
      </w:r>
    </w:p>
    <w:p>
      <w:r>
        <w:pict>
          <v:rect style="width:0;height:1.5pt" o:hralign="center" o:hrstd="t" o:hr="t"/>
        </w:pict>
      </w:r>
    </w:p>
    <w:bookmarkEnd w:id="10"/>
    <w:bookmarkStart w:id="11" w:name="rna-ai-for-lncrnas-today"/>
    <w:p>
      <w:pPr>
        <w:pStyle w:val="Heading2"/>
      </w:pPr>
      <w:r>
        <w:t xml:space="preserve">RNA AI for lncRNAs today</w:t>
      </w:r>
    </w:p>
    <w:p>
      <w:pPr>
        <w:pStyle w:val="FirstParagraph"/>
      </w:pPr>
      <w:r>
        <w:t xml:space="preserve">We organise the current landscape of lncRNA-relevant models by pretraining paradigm</w:t>
      </w:r>
      <w:r>
        <w:t xml:space="preserve"> </w:t>
      </w:r>
      <w:r>
        <w:t xml:space="preserve">rather than by chronology (Fig. 1, Table 1). Four pretraining families are represented</w:t>
      </w:r>
      <w:r>
        <w:t xml:space="preserve"> </w:t>
      </w:r>
      <w:r>
        <w:t xml:space="preserve">in the public toolchain: sequence foundation models, genomic language models,</w:t>
      </w:r>
      <w:r>
        <w:t xml:space="preserve"> </w:t>
      </w:r>
      <w:r>
        <w:t xml:space="preserve">structure predictors, and function-specific networks. This organisation mirrors how a</w:t>
      </w:r>
      <w:r>
        <w:t xml:space="preserve"> </w:t>
      </w:r>
      <w:r>
        <w:t xml:space="preserve">practitioner chooses a model — the first decision is what the model was trained to do,</w:t>
      </w:r>
      <w:r>
        <w:t xml:space="preserve"> </w:t>
      </w:r>
      <w:r>
        <w:t xml:space="preserve">not when it was released.</w:t>
      </w:r>
    </w:p>
    <w:p>
      <w:pPr>
        <w:pStyle w:val="BodyText"/>
      </w:pPr>
      <w:r>
        <w:rPr>
          <w:i/>
          <w:iCs/>
        </w:rPr>
        <w:t xml:space="preserve">Sequence foundation models</w:t>
      </w:r>
      <w:r>
        <w:t xml:space="preserve"> </w:t>
      </w:r>
      <w:r>
        <w:t xml:space="preserve">learn from RNA sequence alone. RNA-FM</w:t>
      </w:r>
      <w:r>
        <w:rPr>
          <w:vertAlign w:val="superscript"/>
        </w:rPr>
        <w:t xml:space="preserve">5</w:t>
      </w:r>
      <w:r>
        <w:t xml:space="preserve"> </w:t>
      </w:r>
      <w:r>
        <w:t xml:space="preserve">is the canonical</w:t>
      </w:r>
      <w:r>
        <w:t xml:space="preserve"> </w:t>
      </w:r>
      <w:r>
        <w:t xml:space="preserve">example (BERT-style, 100 million parameters, 1,024-nucleotide context, 23 million</w:t>
      </w:r>
      <w:r>
        <w:t xml:space="preserve"> </w:t>
      </w:r>
      <w:r>
        <w:t xml:space="preserve">ncRNA sequences); its 640-dimensional per-residue embedding has become a default</w:t>
      </w:r>
      <w:r>
        <w:t xml:space="preserve"> </w:t>
      </w:r>
      <w:r>
        <w:t xml:space="preserve">featurization for downstream RNA tasks. RiNALMo</w:t>
      </w:r>
      <w:r>
        <w:rPr>
          <w:vertAlign w:val="superscript"/>
        </w:rPr>
        <w:t xml:space="preserve">6</w:t>
      </w:r>
      <w:r>
        <w:t xml:space="preserve"> </w:t>
      </w:r>
      <w:r>
        <w:t xml:space="preserve">scales this recipe to 650 million</w:t>
      </w:r>
      <w:r>
        <w:t xml:space="preserve"> </w:t>
      </w:r>
      <w:r>
        <w:t xml:space="preserve">parameters with ALiBi positional encoding. Both learn from sequence alone: turnover,</w:t>
      </w:r>
      <w:r>
        <w:t xml:space="preserve"> </w:t>
      </w:r>
      <w:r>
        <w:t xml:space="preserve">localisation and abundance are absent from their supervision signal.</w:t>
      </w:r>
    </w:p>
    <w:p>
      <w:pPr>
        <w:pStyle w:val="BodyText"/>
      </w:pPr>
      <w:r>
        <w:rPr>
          <w:i/>
          <w:iCs/>
        </w:rPr>
        <w:t xml:space="preserve">Genomic language models</w:t>
      </w:r>
      <w:r>
        <w:t xml:space="preserve"> </w:t>
      </w:r>
      <w:r>
        <w:t xml:space="preserve">extend this to mixed DNA/RNA corpora. Evo</w:t>
      </w:r>
      <w:r>
        <w:rPr>
          <w:vertAlign w:val="superscript"/>
        </w:rPr>
        <w:t xml:space="preserve">7</w:t>
      </w:r>
      <w:r>
        <w:t xml:space="preserve"> </w:t>
      </w:r>
      <w:r>
        <w:t xml:space="preserve">trains 7</w:t>
      </w:r>
      <w:r>
        <w:t xml:space="preserve"> </w:t>
      </w:r>
      <w:r>
        <w:t xml:space="preserve">billion parameters over prokaryotic and phage genomes with a 131-kilobase</w:t>
      </w:r>
      <w:r>
        <w:t xml:space="preserve"> </w:t>
      </w:r>
      <w:r>
        <w:t xml:space="preserve">single-nucleotide-resolution context (StripedHyena architecture). For the lncRNA</w:t>
      </w:r>
      <w:r>
        <w:t xml:space="preserve"> </w:t>
      </w:r>
      <w:r>
        <w:t xml:space="preserve">benchmark we substitute ERNIE-RNA</w:t>
      </w:r>
      <w:r>
        <w:rPr>
          <w:vertAlign w:val="superscript"/>
        </w:rPr>
        <w:t xml:space="preserve">16</w:t>
      </w:r>
      <w:r>
        <w:t xml:space="preserve"> </w:t>
      </w:r>
      <w:r>
        <w:t xml:space="preserve">(86 M parameters, transformer with</w:t>
      </w:r>
      <w:r>
        <w:t xml:space="preserve"> </w:t>
      </w:r>
      <w:r>
        <w:t xml:space="preserve">base-pairing-aware attention), the closest publicly released post-2023</w:t>
      </w:r>
      <w:r>
        <w:t xml:space="preserve"> </w:t>
      </w:r>
      <w:r>
        <w:t xml:space="preserve">genomic-scale RNA language model that is tractable on CPU; we treat it as an</w:t>
      </w:r>
      <w:r>
        <w:t xml:space="preserve"> </w:t>
      </w:r>
      <w:r>
        <w:t xml:space="preserve">Evo-</w:t>
      </w:r>
      <w:r>
        <w:rPr>
          <w:i/>
          <w:iCs/>
        </w:rPr>
        <w:t xml:space="preserve">class</w:t>
      </w:r>
      <w:r>
        <w:t xml:space="preserve"> </w:t>
      </w:r>
      <w:r>
        <w:t xml:space="preserve">representation (genomic-scale LM pretrained on nucleotide sequence)</w:t>
      </w:r>
      <w:r>
        <w:t xml:space="preserve"> </w:t>
      </w:r>
      <w:r>
        <w:t xml:space="preserve">rather than as Evo itself, and the proxy-to-full gap is revisited in Methods and</w:t>
      </w:r>
      <w:r>
        <w:t xml:space="preserve"> </w:t>
      </w:r>
      <w:r>
        <w:t xml:space="preserve">the Outlook. For lncRNAs — eukaryotic, poorly conserved and often multi-exonic —</w:t>
      </w:r>
      <w:r>
        <w:t xml:space="preserve"> </w:t>
      </w:r>
      <w:r>
        <w:t xml:space="preserve">the applicability of prokaryote-dominant pretraining is a testable hypothesis</w:t>
      </w:r>
      <w:r>
        <w:t xml:space="preserve"> </w:t>
      </w:r>
      <w:r>
        <w:t xml:space="preserve">that our benchmark addresses.</w:t>
      </w:r>
    </w:p>
    <w:p>
      <w:pPr>
        <w:pStyle w:val="BodyText"/>
      </w:pPr>
      <w:r>
        <w:rPr>
          <w:i/>
          <w:iCs/>
        </w:rPr>
        <w:t xml:space="preserve">Structure predictors</w:t>
      </w:r>
      <w:r>
        <w:t xml:space="preserve"> </w:t>
      </w:r>
      <w:r>
        <w:t xml:space="preserve">such as RhoFold+</w:t>
      </w:r>
      <w:r>
        <w:rPr>
          <w:vertAlign w:val="superscript"/>
        </w:rPr>
        <w:t xml:space="preserve">8</w:t>
      </w:r>
      <w:r>
        <w:t xml:space="preserve"> </w:t>
      </w:r>
      <w:r>
        <w:t xml:space="preserve">bring end-to-end tertiary-structure</w:t>
      </w:r>
      <w:r>
        <w:t xml:space="preserve"> </w:t>
      </w:r>
      <w:r>
        <w:t xml:space="preserve">prediction to RNA. Their MSA-dependency is a well-known failure mode for lncRNAs,</w:t>
      </w:r>
      <w:r>
        <w:t xml:space="preserve"> </w:t>
      </w:r>
      <w:r>
        <w:t xml:space="preserve">where evolutionary conservation is weak and Rfam coverage is sparse.</w:t>
      </w:r>
    </w:p>
    <w:p>
      <w:pPr>
        <w:pStyle w:val="BodyText"/>
      </w:pPr>
      <w:r>
        <w:rPr>
          <w:i/>
          <w:iCs/>
        </w:rPr>
        <w:t xml:space="preserve">Function-specific networks</w:t>
      </w:r>
      <w:r>
        <w:t xml:space="preserve"> </w:t>
      </w:r>
      <w:r>
        <w:t xml:space="preserve">such as DeepLncLoc</w:t>
      </w:r>
      <w:r>
        <w:rPr>
          <w:vertAlign w:val="superscript"/>
        </w:rPr>
        <w:t xml:space="preserve">9</w:t>
      </w:r>
      <w:r>
        <w:t xml:space="preserve"> </w:t>
      </w:r>
      <w:r>
        <w:t xml:space="preserve">train directly against a functional</w:t>
      </w:r>
      <w:r>
        <w:t xml:space="preserve"> </w:t>
      </w:r>
      <w:r>
        <w:t xml:space="preserve">axis — subcellular localisation in that case. Whether such narrowly specialised</w:t>
      </w:r>
      <w:r>
        <w:t xml:space="preserve"> </w:t>
      </w:r>
      <w:r>
        <w:t xml:space="preserve">representations transfer 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function (here, half-life) is an open</w:t>
      </w:r>
      <w:r>
        <w:t xml:space="preserve"> </w:t>
      </w:r>
      <w:r>
        <w:t xml:space="preserve">question we test.</w:t>
      </w:r>
    </w:p>
    <w:p>
      <w:pPr>
        <w:pStyle w:val="BodyText"/>
      </w:pPr>
      <w:r>
        <w:t xml:space="preserve">Across these four paradigms the downstream task space for lncRNAs is dominated by</w:t>
      </w:r>
      <w:r>
        <w:t xml:space="preserve"> </w:t>
      </w:r>
      <w:r>
        <w:t xml:space="preserve">localisation, RNA–RNA / RNA–protein interaction, and structural prediction. The four</w:t>
      </w:r>
      <w:r>
        <w:t xml:space="preserve"> </w:t>
      </w:r>
      <w:r>
        <w:t xml:space="preserve">paradigms differ sharply in architecture and training corpus, but they share a single</w:t>
      </w:r>
      <w:r>
        <w:t xml:space="preserve"> </w:t>
      </w:r>
      <w:r>
        <w:t xml:space="preserve">structural feature: none of them receives any direct supervision from dynamic cellular</w:t>
      </w:r>
      <w:r>
        <w:t xml:space="preserve"> </w:t>
      </w:r>
      <w:r>
        <w:t xml:space="preserve">state — turnover, localisation, stress response or cell-cycle phase are absent from</w:t>
      </w:r>
      <w:r>
        <w:t xml:space="preserve"> </w:t>
      </w:r>
      <w:r>
        <w:t xml:space="preserve">the pretraining signal of every model listed above. Functional axes that remain</w:t>
      </w:r>
      <w:r>
        <w:t xml:space="preserve"> </w:t>
      </w:r>
      <w:r>
        <w:t xml:space="preserve">comparatively unbenchmarked accordingly cluster around this same axis:</w:t>
      </w:r>
      <w:r>
        <w:t xml:space="preserve"> </w:t>
      </w:r>
      <w:r>
        <w:rPr>
          <w:i/>
          <w:iCs/>
        </w:rPr>
        <w:t xml:space="preserve">half-life</w:t>
      </w:r>
      <w:r>
        <w:t xml:space="preserve"> </w:t>
      </w:r>
      <w:r>
        <w:t xml:space="preserve">(addressed here),</w:t>
      </w:r>
      <w:r>
        <w:t xml:space="preserve"> </w:t>
      </w:r>
      <w:r>
        <w:rPr>
          <w:i/>
          <w:iCs/>
        </w:rPr>
        <w:t xml:space="preserve">stress-responsive induction kinetics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condensate-forming</w:t>
      </w:r>
      <w:r>
        <w:rPr>
          <w:i/>
          <w:iCs/>
        </w:rPr>
        <w:t xml:space="preserve"> </w:t>
      </w:r>
      <w:r>
        <w:rPr>
          <w:i/>
          <w:iCs/>
        </w:rPr>
        <w:t xml:space="preserve">propensity</w:t>
      </w:r>
      <w:r>
        <w:t xml:space="preserve"> </w:t>
      </w:r>
      <w:r>
        <w:t xml:space="preserve">are all dynamic, context-dependent properties that cannot be read</w:t>
      </w:r>
      <w:r>
        <w:t xml:space="preserve"> </w:t>
      </w:r>
      <w:r>
        <w:t xml:space="preserve">faithfully from a static sequence snapshot. Whether any amount of sequence-only</w:t>
      </w:r>
      <w:r>
        <w:t xml:space="preserve"> </w:t>
      </w:r>
      <w:r>
        <w:t xml:space="preserve">pretraining can internalise such dynamic signal is the open empirical question our</w:t>
      </w:r>
      <w:r>
        <w:t xml:space="preserve"> </w:t>
      </w:r>
      <w:r>
        <w:t xml:space="preserve">benchmark is designed to probe.</w:t>
      </w:r>
    </w:p>
    <w:p>
      <w:r>
        <w:pict>
          <v:rect style="width:0;height:1.5pt" o:hralign="center" o:hrstd="t" o:hr="t"/>
        </w:pict>
      </w:r>
    </w:p>
    <w:bookmarkEnd w:id="11"/>
    <w:bookmarkStart w:id="12" w:name="X0d5c3de26f0af57b599bba389e82822eb5c3cec"/>
    <w:p>
      <w:pPr>
        <w:pStyle w:val="Heading2"/>
      </w:pPr>
      <w:r>
        <w:t xml:space="preserve">Benchmarking RNA turnover as a functional axis</w:t>
      </w:r>
    </w:p>
    <w:p>
      <w:pPr>
        <w:pStyle w:val="FirstParagraph"/>
      </w:pPr>
      <w:r>
        <w:t xml:space="preserve">We benchmark five representation classes against transcriptome-wide RNA</w:t>
      </w:r>
      <w:r>
        <w:t xml:space="preserve"> </w:t>
      </w:r>
      <w:r>
        <w:t xml:space="preserve">half-life ground truth. Two are evaluated directly (RNA-FM, DeepLncLoc) and three</w:t>
      </w:r>
      <w:r>
        <w:t xml:space="preserve"> </w:t>
      </w:r>
      <w:r>
        <w:t xml:space="preserve">through CPU-feasible proxies chosen to preserve their representational class</w:t>
      </w:r>
      <w:r>
        <w:t xml:space="preserve"> </w:t>
      </w:r>
      <w:r>
        <w:t xml:space="preserve">(4-mer composition for RiNALMo 650 M; ERNIE-RNA 86 M for Evo-class genomic</w:t>
      </w:r>
      <w:r>
        <w:t xml:space="preserve"> </w:t>
      </w:r>
      <w:r>
        <w:t xml:space="preserve">language models; ViennaRNA thermodynamic descriptors for RhoFold+). Box 1 makes</w:t>
      </w:r>
      <w:r>
        <w:t xml:space="preserve"> </w:t>
      </w:r>
      <w:r>
        <w:t xml:space="preserve">the direct-versus-proxy distinction precise; because three classes are accessed</w:t>
      </w:r>
      <w:r>
        <w:t xml:space="preserve"> </w:t>
      </w:r>
      <w:r>
        <w:t xml:space="preserve">through proxies rather than full-scale inference on the original weights, the</w:t>
      </w:r>
      <w:r>
        <w:t xml:space="preserve"> </w:t>
      </w:r>
      <w:r>
        <w:t xml:space="preserve">benchmark is designed to probe</w:t>
      </w:r>
      <w:r>
        <w:t xml:space="preserve"> </w:t>
      </w:r>
      <w:r>
        <w:rPr>
          <w:i/>
          <w:iCs/>
        </w:rPr>
        <w:t xml:space="preserve">class-level</w:t>
      </w:r>
      <w:r>
        <w:t xml:space="preserve"> </w:t>
      </w:r>
      <w:r>
        <w:t xml:space="preserve">ceilings rather than to rank</w:t>
      </w:r>
      <w:r>
        <w:t xml:space="preserve"> </w:t>
      </w:r>
      <w:r>
        <w:t xml:space="preserve">individual models, and within-class numerical differences should be read with</w:t>
      </w:r>
      <w:r>
        <w:t xml:space="preserve"> </w:t>
      </w:r>
      <w:r>
        <w:t xml:space="preserve">that scope in mind. Ground truth was produced by three complementary</w:t>
      </w:r>
      <w:r>
        <w:t xml:space="preserve"> </w:t>
      </w:r>
      <w:r>
        <w:t xml:space="preserve">pulse-labelling chemistries: BRIC-seq</w:t>
      </w:r>
      <w:r>
        <w:rPr>
          <w:vertAlign w:val="superscript"/>
        </w:rPr>
        <w:t xml:space="preserve">10</w:t>
      </w:r>
      <w:r>
        <w:t xml:space="preserve"> </w:t>
      </w:r>
      <w:r>
        <w:t xml:space="preserve">on HeLa and HeLa-TetOff, SLAM-seq</w:t>
      </w:r>
      <w:r>
        <w:rPr>
          <w:vertAlign w:val="superscript"/>
        </w:rPr>
        <w:t xml:space="preserve">11</w:t>
      </w:r>
      <w:r>
        <w:t xml:space="preserve"> </w:t>
      </w:r>
      <w:r>
        <w:t xml:space="preserve">on mouse embryonic stem cells, and TimeLapse-seq</w:t>
      </w:r>
      <w:r>
        <w:rPr>
          <w:vertAlign w:val="superscript"/>
        </w:rPr>
        <w:t xml:space="preserve">12</w:t>
      </w:r>
      <w:r>
        <w:t xml:space="preserve"> </w:t>
      </w:r>
      <w:r>
        <w:t xml:space="preserve">on K562. Fig. 1 summarises</w:t>
      </w:r>
      <w:r>
        <w:t xml:space="preserve"> </w:t>
      </w:r>
      <w:r>
        <w:t xml:space="preserve">the chemistry and the resulting distribution of measured half-lives. The unified</w:t>
      </w:r>
      <w:r>
        <w:t xml:space="preserve"> </w:t>
      </w:r>
      <w:r>
        <w:t xml:space="preserve">test set comprises 256 GENCODE v44 lncRNAs expressed above TPM ≥ 3 in at least</w:t>
      </w:r>
      <w:r>
        <w:t xml:space="preserve"> </w:t>
      </w:r>
      <w:r>
        <w:t xml:space="preserve">one cell system; 116 are binary-classifiable as stable (half-life &gt; 8 h) or</w:t>
      </w:r>
      <w:r>
        <w:t xml:space="preserve"> </w:t>
      </w:r>
      <w:r>
        <w:t xml:space="preserve">unstable (&lt; 2 h), and 140 are intermediate and used only for continuous</w:t>
      </w:r>
      <w:r>
        <w:t xml:space="preserve"> </w:t>
      </w:r>
      <w:r>
        <w:t xml:space="preserve">regression. For each sequence we extracted per-transcript embeddings from each</w:t>
      </w:r>
      <w:r>
        <w:t xml:space="preserve"> </w:t>
      </w:r>
      <w:r>
        <w:t xml:space="preserve">of the five representation classes and evaluated them with a common downstream</w:t>
      </w:r>
      <w:r>
        <w:t xml:space="preserve"> </w:t>
      </w:r>
      <w:r>
        <w:t xml:space="preserve">stack: logistic regression, ridge regression, and a 2-layer MLP with 64 hidden</w:t>
      </w:r>
      <w:r>
        <w:t xml:space="preserve"> </w:t>
      </w:r>
      <w:r>
        <w:t xml:space="preserve">units.</w:t>
      </w:r>
    </w:p>
    <w:p>
      <w:pPr>
        <w:pStyle w:val="BodyText"/>
      </w:pPr>
      <w:r>
        <w:rPr>
          <w:b/>
          <w:bCs/>
        </w:rPr>
        <w:t xml:space="preserve">No tested representation achieved strong, stable classification.</w:t>
      </w:r>
      <w:r>
        <w:t xml:space="preserve"> </w:t>
      </w:r>
      <w:r>
        <w:t xml:space="preserve">Under</w:t>
      </w:r>
      <w:r>
        <w:t xml:space="preserve"> </w:t>
      </w:r>
      <w:r>
        <w:t xml:space="preserve">gene-disjoint 5-fold stratified cross-validation (the primary evaluation protocol,</w:t>
      </w:r>
      <w:r>
        <w:t xml:space="preserve"> </w:t>
      </w:r>
      <w:r>
        <w:t xml:space="preserve">Methods), the best representation × classifier combinations are the RiNALMo-proxy</w:t>
      </w:r>
      <w:r>
        <w:t xml:space="preserve"> </w:t>
      </w:r>
      <w:r>
        <w:t xml:space="preserve">4-mer MLP (AUROC 0.695 ± 0.155), the DeepLncLoc 3-mer MLP (0.690 ± 0.167), the RNA-FM</w:t>
      </w:r>
      <w:r>
        <w:t xml:space="preserve"> </w:t>
      </w:r>
      <w:r>
        <w:t xml:space="preserve">MLP (0.672 ± 0.141) and the Evo-class proxy (ERNIE-RNA) MLP (0.655 ± 0.149)</w:t>
      </w:r>
      <w:r>
        <w:t xml:space="preserve"> </w:t>
      </w:r>
      <w:r>
        <w:t xml:space="preserve">(Fig. 2). The RhoFold+ proxy (ViennaRNA thermodynamic descriptors) is the weakest at</w:t>
      </w:r>
      <w:r>
        <w:t xml:space="preserve"> </w:t>
      </w:r>
      <w:r>
        <w:t xml:space="preserve">0.396 ± 0.118 with MLP, improving to 0.589 ± 0.133 with logistic regression. The four</w:t>
      </w:r>
      <w:r>
        <w:t xml:space="preserve"> </w:t>
      </w:r>
      <w:r>
        <w:t xml:space="preserve">leading combinations fall within approximately one standard deviation of each other</w:t>
      </w:r>
      <w:r>
        <w:t xml:space="preserve"> </w:t>
      </w:r>
      <w:r>
        <w:t xml:space="preserve">and their bootstrap 95% confidence intervals overlap substantially; we therefore read</w:t>
      </w:r>
      <w:r>
        <w:t xml:space="preserve"> </w:t>
      </w:r>
      <w:r>
        <w:t xml:space="preserve">them as performing similarly within the variance of this benchmark rather than as a</w:t>
      </w:r>
      <w:r>
        <w:t xml:space="preserve"> </w:t>
      </w:r>
      <w:r>
        <w:t xml:space="preserve">strict ranking. No tested representation exceeded AUROC 0.70 under our evaluation</w:t>
      </w:r>
      <w:r>
        <w:t xml:space="preserve"> </w:t>
      </w:r>
      <w:r>
        <w:t xml:space="preserve">setting — a level often treated as a useful-for-prioritisation threshold in</w:t>
      </w:r>
      <w:r>
        <w:t xml:space="preserve"> </w:t>
      </w:r>
      <w:r>
        <w:t xml:space="preserve">comparable RNA benchmarks. Taken together, these results suggest that under the</w:t>
      </w:r>
      <w:r>
        <w:t xml:space="preserve"> </w:t>
      </w:r>
      <w:r>
        <w:t xml:space="preserve">conditions tested, scaling or swapping among sequence-only representations is</w:t>
      </w:r>
      <w:r>
        <w:t xml:space="preserve"> </w:t>
      </w:r>
      <w:r>
        <w:t xml:space="preserve">insufficient to overcome a shared ceiling in lncRNA half-life classification.</w:t>
      </w:r>
    </w:p>
    <w:p>
      <w:pPr>
        <w:pStyle w:val="BodyText"/>
      </w:pPr>
      <w:r>
        <w:rPr>
          <w:b/>
          <w:bCs/>
        </w:rPr>
        <w:t xml:space="preserve">Continuous half-life regression is near chance.</w:t>
      </w:r>
      <w:r>
        <w:t xml:space="preserve"> </w:t>
      </w:r>
      <w:r>
        <w:t xml:space="preserve">Predicting log₂(half-life) in</w:t>
      </w:r>
      <w:r>
        <w:t xml:space="preserve"> </w:t>
      </w:r>
      <w:r>
        <w:t xml:space="preserve">hours as a continuous variable against the full 256-sequence set, the best single</w:t>
      </w:r>
      <w:r>
        <w:t xml:space="preserve"> </w:t>
      </w:r>
      <w:r>
        <w:t xml:space="preserve">model is the DeepLncLoc 3-mer MLP with Spearman ρ = 0.186 ± 0.087, followed by RNA-FM</w:t>
      </w:r>
      <w:r>
        <w:t xml:space="preserve"> </w:t>
      </w:r>
      <w:r>
        <w:t xml:space="preserve">(ρ = 0.153 ± 0.110) (Fig. 3). RMSE in log₂(h) units clusters between 1.02 and 1.05</w:t>
      </w:r>
      <w:r>
        <w:t xml:space="preserve"> </w:t>
      </w:r>
      <w:r>
        <w:t xml:space="preserve">across all representations — consistent with a near-intercept fit. The near-intercept</w:t>
      </w:r>
      <w:r>
        <w:t xml:space="preserve"> </w:t>
      </w:r>
      <w:r>
        <w:t xml:space="preserve">behaviour of every representation on continuous half-life is consistent with the view</w:t>
      </w:r>
      <w:r>
        <w:t xml:space="preserve"> </w:t>
      </w:r>
      <w:r>
        <w:t xml:space="preserve">that the remaining predictive information resides in dynamic cellular state rather</w:t>
      </w:r>
      <w:r>
        <w:t xml:space="preserve"> </w:t>
      </w:r>
      <w:r>
        <w:t xml:space="preserve">than in sequence alone.</w:t>
      </w:r>
    </w:p>
    <w:p>
      <w:pPr>
        <w:pStyle w:val="BodyText"/>
      </w:pPr>
      <w:r>
        <w:rPr>
          <w:b/>
          <w:bCs/>
        </w:rPr>
        <w:t xml:space="preserve">A classical k-mer baseline performs similarly to every tested representation.</w:t>
      </w:r>
      <w:r>
        <w:t xml:space="preserve"> </w:t>
      </w:r>
      <w:r>
        <w:t xml:space="preserve">The 3-mer (64 dimensions) and 4-mer (256 dimensions) composition vectors fed to an</w:t>
      </w:r>
      <w:r>
        <w:t xml:space="preserve"> </w:t>
      </w:r>
      <w:r>
        <w:t xml:space="preserve">MLP recover AUROC values within the cross-validation variance of RNA-FM’s</w:t>
      </w:r>
      <w:r>
        <w:t xml:space="preserve"> </w:t>
      </w:r>
      <w:r>
        <w:t xml:space="preserve">640-dimensional pretrained embedding (Fig. 2, colour-coded by representation class).</w:t>
      </w:r>
      <w:r>
        <w:t xml:space="preserve"> </w:t>
      </w:r>
      <w:r>
        <w:t xml:space="preserve">Read together with the recent RNAGenesis comparisons</w:t>
      </w:r>
      <w:r>
        <w:rPr>
          <w:vertAlign w:val="superscript"/>
        </w:rPr>
        <w:t xml:space="preserve">13</w:t>
      </w:r>
      <w:r>
        <w:t xml:space="preserve">, this observation</w:t>
      </w:r>
      <w:r>
        <w:t xml:space="preserve"> </w:t>
      </w:r>
      <w:r>
        <w:t xml:space="preserve">motivates testing whether dynamic measurements add information that is not already</w:t>
      </w:r>
      <w:r>
        <w:t xml:space="preserve"> </w:t>
      </w:r>
      <w:r>
        <w:t xml:space="preserve">recoverable from sequence-only pretraining; it does not, by itself, settle the</w:t>
      </w:r>
      <w:r>
        <w:t xml:space="preserve"> </w:t>
      </w:r>
      <w:r>
        <w:t xml:space="preserve">question for larger directly-evaluated weights. Whether this ceiling lifts with</w:t>
      </w:r>
      <w:r>
        <w:t xml:space="preserve"> </w:t>
      </w:r>
      <w:r>
        <w:t xml:space="preserve">GPU-scale replication of full RiNALMo 650 M and Evo 7 B is an empirical question</w:t>
      </w:r>
      <w:r>
        <w:t xml:space="preserve"> </w:t>
      </w:r>
      <w:r>
        <w:t xml:space="preserve">that the proxy benchmark cannot close on its own.</w:t>
      </w:r>
    </w:p>
    <w:p>
      <w:pPr>
        <w:pStyle w:val="BodyText"/>
      </w:pPr>
      <w:r>
        <w:rPr>
          <w:b/>
          <w:bCs/>
        </w:rPr>
        <w:t xml:space="preserve">Cross-cell generalisation is noisy.</w:t>
      </w:r>
      <w:r>
        <w:t xml:space="preserve"> </w:t>
      </w:r>
      <w:r>
        <w:t xml:space="preserve">Under leave-one-cell-out cross-validation,</w:t>
      </w:r>
      <w:r>
        <w:t xml:space="preserve"> </w:t>
      </w:r>
      <w:r>
        <w:t xml:space="preserve">absolute AUROC values fluctuate widely (0.26 ≤ SD ≤ 0.40 across cells) because per-cell</w:t>
      </w:r>
      <w:r>
        <w:t xml:space="preserve"> </w:t>
      </w:r>
      <w:r>
        <w:t xml:space="preserve">classifiable N is small. We report LOCO as a diagnostic, not as a primary metric.</w:t>
      </w:r>
    </w:p>
    <w:p>
      <w:r>
        <w:pict>
          <v:rect style="width:0;height:1.5pt" o:hralign="center" o:hrstd="t" o:hr="t"/>
        </w:pict>
      </w:r>
    </w:p>
    <w:bookmarkEnd w:id="12"/>
    <w:bookmarkStart w:id="13" w:name="Xe1b21a7f4108290ab3d62cc3b724831694773d9"/>
    <w:p>
      <w:pPr>
        <w:pStyle w:val="Heading2"/>
      </w:pPr>
      <w:r>
        <w:t xml:space="preserve">A shared blind spot: consensus-failure lncRNAs</w:t>
      </w:r>
    </w:p>
    <w:p>
      <w:pPr>
        <w:pStyle w:val="FirstParagraph"/>
      </w:pPr>
      <w:r>
        <w:t xml:space="preserve">If the performance ceiling were an architecture-side artefact, one would expect</w:t>
      </w:r>
      <w:r>
        <w:t xml:space="preserve"> </w:t>
      </w:r>
      <w:r>
        <w:t xml:space="preserve">different architectures to fail on different transcripts. Instead, we find a</w:t>
      </w:r>
      <w:r>
        <w:t xml:space="preserve"> </w:t>
      </w:r>
      <w:r>
        <w:t xml:space="preserve">consensus-failure set of 12 lncRNAs misclassified by every one of the five</w:t>
      </w:r>
      <w:r>
        <w:t xml:space="preserve"> </w:t>
      </w:r>
      <w:r>
        <w:t xml:space="preserve">representation classes under gene-disjoint cross-validation (Fig. 4). This</w:t>
      </w:r>
      <w:r>
        <w:t xml:space="preserve"> </w:t>
      </w:r>
      <w:r>
        <w:t xml:space="preserve">analysis</w:t>
      </w:r>
      <w:r>
        <w:t xml:space="preserve"> </w:t>
      </w:r>
      <w:r>
        <w:t xml:space="preserve">is deliberately</w:t>
      </w:r>
      <w:r>
        <w:t xml:space="preserve"> </w:t>
      </w:r>
      <w:r>
        <w:rPr>
          <w:i/>
          <w:iCs/>
        </w:rPr>
        <w:t xml:space="preserve">hypothesis-generating</w:t>
      </w:r>
      <w:r>
        <w:t xml:space="preserve">: the sample is too small to claim formal</w:t>
      </w:r>
      <w:r>
        <w:t xml:space="preserve"> </w:t>
      </w:r>
      <w:r>
        <w:t xml:space="preserve">statistical enrichment of any biological category, and we frame what follows as a</w:t>
      </w:r>
      <w:r>
        <w:t xml:space="preserve"> </w:t>
      </w:r>
      <w:r>
        <w:t xml:space="preserve">qualitative pattern that a larger calibrated benchmark should test directly. Within</w:t>
      </w:r>
      <w:r>
        <w:t xml:space="preserve"> </w:t>
      </w:r>
      <w:r>
        <w:t xml:space="preserve">that caveat, the set includes lncRNAs whose biology is well-established as</w:t>
      </w:r>
      <w:r>
        <w:t xml:space="preserve"> </w:t>
      </w:r>
      <w:r>
        <w:t xml:space="preserve">context-dependent —</w:t>
      </w:r>
      <w:r>
        <w:t xml:space="preserve"> </w:t>
      </w:r>
      <w:r>
        <w:rPr>
          <w:i/>
          <w:iCs/>
        </w:rPr>
        <w:t xml:space="preserve">NEAT1</w:t>
      </w:r>
      <w:r>
        <w:t xml:space="preserve">, central to paraspeckle assembly</w:t>
      </w:r>
      <w:r>
        <w:rPr>
          <w:vertAlign w:val="superscript"/>
        </w:rPr>
        <w:t xml:space="preserve">3</w:t>
      </w:r>
      <w:r>
        <w:t xml:space="preserve">, and</w:t>
      </w:r>
      <w:r>
        <w:t xml:space="preserve"> </w:t>
      </w:r>
      <w:r>
        <w:rPr>
          <w:i/>
          <w:iCs/>
        </w:rPr>
        <w:t xml:space="preserve">MALAT1</w:t>
      </w:r>
      <w:r>
        <w:t xml:space="preserve">, a</w:t>
      </w:r>
      <w:r>
        <w:t xml:space="preserve"> </w:t>
      </w:r>
      <w:r>
        <w:t xml:space="preserve">nuclear-retained lncRNA that modulates SR-protein phosphorylation and associated</w:t>
      </w:r>
      <w:r>
        <w:t xml:space="preserve"> </w:t>
      </w:r>
      <w:r>
        <w:t xml:space="preserve">splicing regulation</w:t>
      </w:r>
      <w:r>
        <w:rPr>
          <w:vertAlign w:val="superscript"/>
        </w:rPr>
        <w:t xml:space="preserve">14</w:t>
      </w:r>
      <w:r>
        <w:t xml:space="preserve"> </w:t>
      </w:r>
      <w:r>
        <w:t xml:space="preserve">— alongside additional lncRNAs previously reported to</w:t>
      </w:r>
      <w:r>
        <w:t xml:space="preserve"> </w:t>
      </w:r>
      <w:r>
        <w:t xml:space="preserve">exhibit cell-cycle-regulated or stress-responsive behaviour. These serve as</w:t>
      </w:r>
      <w:r>
        <w:t xml:space="preserve"> </w:t>
      </w:r>
      <w:r>
        <w:t xml:space="preserve">illustrative examples of transcripts for which a static sequence snapshot is</w:t>
      </w:r>
      <w:r>
        <w:t xml:space="preserve"> </w:t>
      </w:r>
      <w:r>
        <w:t xml:space="preserve">unlikely to capture the relevant regulatory context, rather than as a biological</w:t>
      </w:r>
      <w:r>
        <w:t xml:space="preserve"> </w:t>
      </w:r>
      <w:r>
        <w:t xml:space="preserve">claim about the 12-transcript set as a whole. The pattern is consistent with the</w:t>
      </w:r>
      <w:r>
        <w:t xml:space="preserve"> </w:t>
      </w:r>
      <w:r>
        <w:t xml:space="preserve">observability-gap reading: transcripts whose function is carried by cellular</w:t>
      </w:r>
      <w:r>
        <w:t xml:space="preserve"> </w:t>
      </w:r>
      <w:r>
        <w:t xml:space="preserve">state are the ones on which static representations agree least.</w:t>
      </w:r>
    </w:p>
    <w:p>
      <w:pPr>
        <w:pStyle w:val="BodyText"/>
      </w:pPr>
      <w:r>
        <w:t xml:space="preserve">A length-stratified breakdown (Supplementary Fig. 1) shows RNA-FM performing</w:t>
      </w:r>
      <w:r>
        <w:t xml:space="preserve"> </w:t>
      </w:r>
      <w:r>
        <w:t xml:space="preserve">relatively better on short lncRNAs (≤ 1.5 kb) and degrading on longer ones,</w:t>
      </w:r>
      <w:r>
        <w:t xml:space="preserve"> </w:t>
      </w:r>
      <w:r>
        <w:t xml:space="preserve">consistent with its 1,024-nucleotide context window, whereas the Evo-class proxy</w:t>
      </w:r>
      <w:r>
        <w:t xml:space="preserve"> </w:t>
      </w:r>
      <w:r>
        <w:t xml:space="preserve">shows the opposite trend. Context length constrains which static features a model</w:t>
      </w:r>
      <w:r>
        <w:t xml:space="preserve"> </w:t>
      </w:r>
      <w:r>
        <w:t xml:space="preserve">can access, but does not supply the dynamic signal missing from every</w:t>
      </w:r>
      <w:r>
        <w:t xml:space="preserve"> </w:t>
      </w:r>
      <w:r>
        <w:t xml:space="preserve">representation uniformly.</w:t>
      </w:r>
    </w:p>
    <w:p>
      <w:r>
        <w:pict>
          <v:rect style="width:0;height:1.5pt" o:hralign="center" o:hrstd="t" o:hr="t"/>
        </w:pict>
      </w:r>
    </w:p>
    <w:bookmarkEnd w:id="13"/>
    <w:bookmarkStart w:id="14" w:name="X41ebc92f64901d94ef92de665452c9dbad2131c"/>
    <w:p>
      <w:pPr>
        <w:pStyle w:val="Heading2"/>
      </w:pPr>
      <w:r>
        <w:t xml:space="preserve">Dynamic grounding: closing the observability gap</w:t>
      </w:r>
    </w:p>
    <w:p>
      <w:pPr>
        <w:pStyle w:val="FirstParagraph"/>
      </w:pPr>
      <w:r>
        <w:t xml:space="preserve">Together, the consensus failure, the k-mer-competitive ceiling and the near-chance</w:t>
      </w:r>
      <w:r>
        <w:t xml:space="preserve"> </w:t>
      </w:r>
      <w:r>
        <w:t xml:space="preserve">regression point to a shared missing ingredient: the dynamic state of the cell.</w:t>
      </w:r>
      <w:r>
        <w:t xml:space="preserve"> </w:t>
      </w:r>
      <w:r>
        <w:t xml:space="preserve">Every representation tested is pretrained on a frozen transcriptome snapshot without</w:t>
      </w:r>
      <w:r>
        <w:t xml:space="preserve"> </w:t>
      </w:r>
      <w:r>
        <w:t xml:space="preserve">kinetic, subcellular or condition-dependent annotation. The relevant state variables</w:t>
      </w:r>
      <w:r>
        <w:t xml:space="preserve"> </w:t>
      </w:r>
      <w:r>
        <w:t xml:space="preserve">are themselves measurable — RNA turnover at transcriptome scale by BRIC-seq</w:t>
      </w:r>
      <w:r>
        <w:rPr>
          <w:vertAlign w:val="superscript"/>
        </w:rPr>
        <w:t xml:space="preserve">10</w:t>
      </w:r>
      <w:r>
        <w:t xml:space="preserve">,</w:t>
      </w:r>
      <w:r>
        <w:t xml:space="preserve"> </w:t>
      </w:r>
      <w:r>
        <w:t xml:space="preserve">SLAM-seq</w:t>
      </w:r>
      <w:r>
        <w:rPr>
          <w:vertAlign w:val="superscript"/>
        </w:rPr>
        <w:t xml:space="preserve">11</w:t>
      </w:r>
      <w:r>
        <w:t xml:space="preserve"> </w:t>
      </w:r>
      <w:r>
        <w:t xml:space="preserve">and TimeLapse-seq</w:t>
      </w:r>
      <w:r>
        <w:rPr>
          <w:vertAlign w:val="superscript"/>
        </w:rPr>
        <w:t xml:space="preserve">12</w:t>
      </w:r>
      <w:r>
        <w:t xml:space="preserve">; subcellular localisation by CeFra-seq</w:t>
      </w:r>
      <w:r>
        <w:rPr>
          <w:vertAlign w:val="superscript"/>
        </w:rPr>
        <w:t xml:space="preserve">17</w:t>
      </w:r>
      <w:r>
        <w:t xml:space="preserve"> </w:t>
      </w:r>
      <w:r>
        <w:t xml:space="preserve">and</w:t>
      </w:r>
      <w:r>
        <w:t xml:space="preserve"> </w:t>
      </w:r>
      <w:r>
        <w:t xml:space="preserve">APEX-seq</w:t>
      </w:r>
      <w:r>
        <w:rPr>
          <w:vertAlign w:val="superscript"/>
        </w:rPr>
        <w:t xml:space="preserve">18</w:t>
      </w:r>
      <w:r>
        <w:t xml:space="preserve"> </w:t>
      </w:r>
      <w:r>
        <w:t xml:space="preserve">— and the field has already collected them. What is missing is a</w:t>
      </w:r>
      <w:r>
        <w:t xml:space="preserve"> </w:t>
      </w:r>
      <w:r>
        <w:t xml:space="preserve">principled way to connect them back to models that were never exposed to them.</w:t>
      </w:r>
    </w:p>
    <w:p>
      <w:pPr>
        <w:pStyle w:val="BodyText"/>
      </w:pPr>
      <w:r>
        <w:t xml:space="preserve">Viewed as a machine-learning problem, this is a specific instance of a more general</w:t>
      </w:r>
      <w:r>
        <w:t xml:space="preserve"> </w:t>
      </w:r>
      <w:r>
        <w:t xml:space="preserve">pattern: a pretrained representation</w:t>
      </w:r>
      <w:r>
        <w:t xml:space="preserve"> </w:t>
      </w:r>
      <w:r>
        <w:rPr>
          <w:i/>
          <w:iCs/>
        </w:rPr>
        <w:t xml:space="preserve">r(x)</w:t>
      </w:r>
      <w:r>
        <w:t xml:space="preserve"> </w:t>
      </w:r>
      <w:r>
        <w:t xml:space="preserve">is evaluated on a label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that depends</w:t>
      </w:r>
      <w:r>
        <w:t xml:space="preserve"> </w:t>
      </w:r>
      <w:r>
        <w:t xml:space="preserve">not on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alone but on</w:t>
      </w:r>
      <w:r>
        <w:t xml:space="preserve"> </w:t>
      </w:r>
      <w:r>
        <w:rPr>
          <w:i/>
          <w:iCs/>
        </w:rPr>
        <w:t xml:space="preserve">(x, z)</w:t>
      </w:r>
      <w:r>
        <w:t xml:space="preserve">, where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is an orthogonal state variable never</w:t>
      </w:r>
      <w:r>
        <w:t xml:space="preserve"> </w:t>
      </w:r>
      <w:r>
        <w:t xml:space="preserve">seen at pretraining time. Scaling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cannot recover what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carries; conditioning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on a measured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can. We call the resulting procedure</w:t>
      </w:r>
      <w:r>
        <w:t xml:space="preserve"> </w:t>
      </w:r>
      <w:r>
        <w:rPr>
          <w:i/>
          <w:iCs/>
        </w:rPr>
        <w:t xml:space="preserve">dynamic grounding</w:t>
      </w:r>
      <w:r>
        <w:t xml:space="preserve">: a</w:t>
      </w:r>
      <w:r>
        <w:t xml:space="preserve"> </w:t>
      </w:r>
      <w:r>
        <w:t xml:space="preserve">model-agnostic post-hoc conditioning of static foundation-model predictions on</w:t>
      </w:r>
      <w:r>
        <w:t xml:space="preserve"> </w:t>
      </w:r>
      <w:r>
        <w:t xml:space="preserve">measured state variables that capture the axes the pretraining corpus leaves out.</w:t>
      </w:r>
    </w:p>
    <w:p>
      <w:pPr>
        <w:pStyle w:val="BodyText"/>
      </w:pPr>
      <w:r>
        <w:t xml:space="preserve">For the lncRNA half-life setting, this specialises to the tiered construction</w:t>
      </w:r>
      <w:r>
        <w:t xml:space="preserve"> </w:t>
      </w:r>
      <w:r>
        <w:t xml:space="preserve">sketched in Fig. 5. The top tier is the static model output, preserved as-is. The</w:t>
      </w:r>
      <w:r>
        <w:t xml:space="preserve"> </w:t>
      </w:r>
      <w:r>
        <w:t xml:space="preserve">middle tier is the joint turnover-and-localisation prior</w:t>
      </w:r>
      <w:r>
        <w:t xml:space="preserve"> </w:t>
      </w:r>
      <w:r>
        <w:rPr>
          <w:i/>
          <w:iCs/>
        </w:rPr>
        <w:t xml:space="preserve">p(t), ℓ(t)</w:t>
      </w:r>
      <w:r>
        <w:t xml:space="preserve">, computed from</w:t>
      </w:r>
      <w:r>
        <w:t xml:space="preserve"> </w:t>
      </w:r>
      <w:r>
        <w:t xml:space="preserve">published measurements on the closest matched cell system. The bottom tier is a</w:t>
      </w:r>
      <w:r>
        <w:t xml:space="preserve"> </w:t>
      </w:r>
      <w:r>
        <w:t xml:space="preserve">calibrated output projected onto interpretable biology bins (stable-nuclear,</w:t>
      </w:r>
      <w:r>
        <w:t xml:space="preserve"> </w:t>
      </w:r>
      <w:r>
        <w:t xml:space="preserve">stable-cytoplasmic, unstable-nuclear, unstable-cytoplasmic, intermediate). The</w:t>
      </w:r>
      <w:r>
        <w:t xml:space="preserve"> </w:t>
      </w:r>
      <w:r>
        <w:t xml:space="preserve">grounding layer is model-agnostic: it can be applied to any of the five</w:t>
      </w:r>
      <w:r>
        <w:t xml:space="preserve"> </w:t>
      </w:r>
      <w:r>
        <w:t xml:space="preserve">representation classes evaluated here, or to any future sequence model, without</w:t>
      </w:r>
      <w:r>
        <w:t xml:space="preserve"> </w:t>
      </w:r>
      <w:r>
        <w:t xml:space="preserve">retraining the underlying weights. A minimal implementable prototype (Box 2)</w:t>
      </w:r>
      <w:r>
        <w:t xml:space="preserve"> </w:t>
      </w:r>
      <w:r>
        <w:t xml:space="preserve">requires only published resources and a single calibration step, and is therefore</w:t>
      </w:r>
      <w:r>
        <w:t xml:space="preserve"> </w:t>
      </w:r>
      <w:r>
        <w:t xml:space="preserve">immediately actionable — no new data, no new training runs, no privileged access to</w:t>
      </w:r>
      <w:r>
        <w:t xml:space="preserve"> </w:t>
      </w:r>
      <w:r>
        <w:t xml:space="preserve">foundation-model weights.</w:t>
      </w:r>
    </w:p>
    <w:p>
      <w:pPr>
        <w:pStyle w:val="BodyText"/>
      </w:pPr>
      <w:r>
        <w:t xml:space="preserve">Dynamic grounding also implies a corresponding change in how models should be</w:t>
      </w:r>
      <w:r>
        <w:t xml:space="preserve"> </w:t>
      </w:r>
      <w:r>
        <w:t xml:space="preserve">evaluated. We propose a</w:t>
      </w:r>
      <w:r>
        <w:t xml:space="preserve"> </w:t>
      </w:r>
      <w:r>
        <w:rPr>
          <w:b/>
          <w:bCs/>
        </w:rPr>
        <w:t xml:space="preserve">tiered, observability-aware evaluation standard</w:t>
      </w:r>
      <w:r>
        <w:t xml:space="preserve"> </w:t>
      </w:r>
      <w:r>
        <w:t xml:space="preserve">with two</w:t>
      </w:r>
      <w:r>
        <w:t xml:space="preserve"> </w:t>
      </w:r>
      <w:r>
        <w:t xml:space="preserve">axes. The</w:t>
      </w:r>
      <w:r>
        <w:t xml:space="preserve"> </w:t>
      </w:r>
      <w:r>
        <w:rPr>
          <w:i/>
          <w:iCs/>
        </w:rPr>
        <w:t xml:space="preserve">static axis</w:t>
      </w:r>
      <w:r>
        <w:t xml:space="preserve"> </w:t>
      </w:r>
      <w:r>
        <w:t xml:space="preserve">tests raw model output against sequence-only ground truth —</w:t>
      </w:r>
      <w:r>
        <w:t xml:space="preserve"> </w:t>
      </w:r>
      <w:r>
        <w:t xml:space="preserve">the current default. The</w:t>
      </w:r>
      <w:r>
        <w:t xml:space="preserve"> </w:t>
      </w:r>
      <w:r>
        <w:rPr>
          <w:i/>
          <w:iCs/>
        </w:rPr>
        <w:t xml:space="preserve">dynamic axis</w:t>
      </w:r>
      <w:r>
        <w:t xml:space="preserve"> </w:t>
      </w:r>
      <w:r>
        <w:t xml:space="preserve">tests calibrated output against turnover and</w:t>
      </w:r>
      <w:r>
        <w:t xml:space="preserve"> </w:t>
      </w:r>
      <w:r>
        <w:t xml:space="preserve">localisation ground truth — the standard this Perspective argues must now be adopted.</w:t>
      </w:r>
      <w:r>
        <w:t xml:space="preserve"> </w:t>
      </w:r>
      <w:r>
        <w:t xml:space="preserve">A representation that performs well on the static axis but degrades on the dynamic</w:t>
      </w:r>
      <w:r>
        <w:t xml:space="preserve"> </w:t>
      </w:r>
      <w:r>
        <w:t xml:space="preserve">axis is exposed as sequence-saturating; one that performs on both is biology-aware.</w:t>
      </w:r>
      <w:r>
        <w:t xml:space="preserve"> </w:t>
      </w:r>
      <w:r>
        <w:t xml:space="preserve">Under this standard, every representation class benchmarked here would be classified</w:t>
      </w:r>
      <w:r>
        <w:t xml:space="preserve"> </w:t>
      </w:r>
      <w:r>
        <w:t xml:space="preserve">as static-axis only. The same framing extends naturally beyond lncRNAs: any</w:t>
      </w:r>
      <w:r>
        <w:t xml:space="preserve"> </w:t>
      </w:r>
      <w:r>
        <w:t xml:space="preserve">foundation model evaluated on a label that depends on an unobserved state variable</w:t>
      </w:r>
      <w:r>
        <w:t xml:space="preserve"> </w:t>
      </w:r>
      <w:r>
        <w:t xml:space="preserve">should, in principle, be benchmarked on both axes.</w:t>
      </w:r>
    </w:p>
    <w:p>
      <w:r>
        <w:pict>
          <v:rect style="width:0;height:1.5pt" o:hralign="center" o:hrstd="t" o:hr="t"/>
        </w:pict>
      </w:r>
    </w:p>
    <w:bookmarkEnd w:id="14"/>
    <w:bookmarkStart w:id="15" w:name="outlook"/>
    <w:p>
      <w:pPr>
        <w:pStyle w:val="Heading2"/>
      </w:pPr>
      <w:r>
        <w:t xml:space="preserve">Outlook</w:t>
      </w:r>
    </w:p>
    <w:p>
      <w:pPr>
        <w:pStyle w:val="FirstParagraph"/>
      </w:pPr>
      <w:r>
        <w:t xml:space="preserve">Three limitations frame what this benchmark can and cannot support. First, three of</w:t>
      </w:r>
      <w:r>
        <w:t xml:space="preserve"> </w:t>
      </w:r>
      <w:r>
        <w:t xml:space="preserve">the five representation classes are assessed through CPU-feasible proxies rather</w:t>
      </w:r>
      <w:r>
        <w:t xml:space="preserve"> </w:t>
      </w:r>
      <w:r>
        <w:t xml:space="preserve">than through direct inference on the original weights; GPU-scale replication with</w:t>
      </w:r>
      <w:r>
        <w:t xml:space="preserve"> </w:t>
      </w:r>
      <w:r>
        <w:t xml:space="preserve">full RiNALMo 650 M and Evo 7 B is reserved for follow-up work, and the proxy-to-full</w:t>
      </w:r>
      <w:r>
        <w:t xml:space="preserve"> </w:t>
      </w:r>
      <w:r>
        <w:t xml:space="preserve">AUROC gap is expected on the basis of independent zero-shot comparisons</w:t>
      </w:r>
      <w:r>
        <w:rPr>
          <w:vertAlign w:val="superscript"/>
        </w:rPr>
        <w:t xml:space="preserve">13</w:t>
      </w:r>
      <w:r>
        <w:t xml:space="preserve"> </w:t>
      </w:r>
      <w:r>
        <w:t xml:space="preserve">to be of</w:t>
      </w:r>
      <w:r>
        <w:t xml:space="preserve"> </w:t>
      </w:r>
      <w:r>
        <w:t xml:space="preserve">the order of a few percentage points — small relative to the within-fold variance</w:t>
      </w:r>
      <w:r>
        <w:t xml:space="preserve"> </w:t>
      </w:r>
      <w:r>
        <w:t xml:space="preserve">observed here, but not settled by this benchmark alone. Second, the test set of 256</w:t>
      </w:r>
      <w:r>
        <w:t xml:space="preserve"> </w:t>
      </w:r>
      <w:r>
        <w:t xml:space="preserve">lncRNAs (116 classifiable) is modest, per-fold AUROC standard deviations are</w:t>
      </w:r>
      <w:r>
        <w:t xml:space="preserve"> </w:t>
      </w:r>
      <w:r>
        <w:t xml:space="preserve">correspondingly large, and gene-disjoint cross-validation does not yet control for</w:t>
      </w:r>
      <w:r>
        <w:t xml:space="preserve"> </w:t>
      </w:r>
      <w:r>
        <w:t xml:space="preserve">functional-family leakage. Third, the ground-truth half-life datasets differ in</w:t>
      </w:r>
      <w:r>
        <w:t xml:space="preserve"> </w:t>
      </w:r>
      <w:r>
        <w:t xml:space="preserve">chemistry and cell system; per-cell calibration reduces but does not eliminate batch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Against those caveats, two readings are supported both by this benchmark and by</w:t>
      </w:r>
      <w:r>
        <w:t xml:space="preserve"> </w:t>
      </w:r>
      <w:r>
        <w:t xml:space="preserve">independently published RNA foundation-model comparisons</w:t>
      </w:r>
      <w:r>
        <w:rPr>
          <w:vertAlign w:val="superscript"/>
        </w:rPr>
        <w:t xml:space="preserve">13</w:t>
      </w:r>
      <w:r>
        <w:t xml:space="preserve">. First, under the</w:t>
      </w:r>
      <w:r>
        <w:t xml:space="preserve"> </w:t>
      </w:r>
      <w:r>
        <w:t xml:space="preserve">conditions tested, static sequence-only representations — whether evaluated</w:t>
      </w:r>
      <w:r>
        <w:t xml:space="preserve"> </w:t>
      </w:r>
      <w:r>
        <w:t xml:space="preserve">directly or via proxy — did not support robust lncRNA half-life prediction, and</w:t>
      </w:r>
      <w:r>
        <w:t xml:space="preserve"> </w:t>
      </w:r>
      <w:r>
        <w:t xml:space="preserve">these results motivate testing whether dynamic measurements add information that</w:t>
      </w:r>
      <w:r>
        <w:t xml:space="preserve"> </w:t>
      </w:r>
      <w:r>
        <w:t xml:space="preserve">sequence-only pretraining does not recover. Second, the field already has the</w:t>
      </w:r>
      <w:r>
        <w:t xml:space="preserve"> </w:t>
      </w:r>
      <w:r>
        <w:t xml:space="preserve">dynamic measurements needed to test that hypothesis: transcriptome-wide</w:t>
      </w:r>
      <w:r>
        <w:t xml:space="preserve"> </w:t>
      </w:r>
      <w:r>
        <w:t xml:space="preserve">turnover</w:t>
      </w:r>
      <w:r>
        <w:rPr>
          <w:vertAlign w:val="superscript"/>
        </w:rPr>
        <w:t xml:space="preserve">10–12</w:t>
      </w:r>
      <w:r>
        <w:t xml:space="preserve"> </w:t>
      </w:r>
      <w:r>
        <w:t xml:space="preserve">and localisation</w:t>
      </w:r>
      <w:r>
        <w:rPr>
          <w:vertAlign w:val="superscript"/>
        </w:rPr>
        <w:t xml:space="preserve">17,18</w:t>
      </w:r>
      <w:r>
        <w:t xml:space="preserve"> </w:t>
      </w:r>
      <w:r>
        <w:t xml:space="preserve">are publicly available, and dynamic</w:t>
      </w:r>
      <w:r>
        <w:t xml:space="preserve"> </w:t>
      </w:r>
      <w:r>
        <w:t xml:space="preserve">grounding (Fig. 5, Box 2) provides a concrete, retraining-free way to bring them</w:t>
      </w:r>
      <w:r>
        <w:t xml:space="preserve"> </w:t>
      </w:r>
      <w:r>
        <w:t xml:space="preserve">into contact with existing foundation-model outputs. Building biology-grounded</w:t>
      </w:r>
      <w:r>
        <w:t xml:space="preserve"> </w:t>
      </w:r>
      <w:r>
        <w:t xml:space="preserve">foundation models for RNA will eventually require training corpora that include</w:t>
      </w:r>
      <w:r>
        <w:t xml:space="preserve"> </w:t>
      </w:r>
      <w:r>
        <w:t xml:space="preserve">kinetic and spatial annotation as first-class supervision signals, but the tiered,</w:t>
      </w:r>
      <w:r>
        <w:t xml:space="preserve"> </w:t>
      </w:r>
      <w:r>
        <w:t xml:space="preserve">observability-aware evaluation standard argued for here can be adopted today, on</w:t>
      </w:r>
      <w:r>
        <w:t xml:space="preserve"> </w:t>
      </w:r>
      <w:r>
        <w:t xml:space="preserve">existing models and existing data.</w:t>
      </w:r>
    </w:p>
    <w:p>
      <w:pPr>
        <w:pStyle w:val="BodyText"/>
      </w:pPr>
      <w:r>
        <w:t xml:space="preserve">More broadly, the pattern we document — a static-axis ceiling accompanied by</w:t>
      </w:r>
      <w:r>
        <w:t xml:space="preserve"> </w:t>
      </w:r>
      <w:r>
        <w:t xml:space="preserve">systematic weakness on dynamically regulated substrates — is unlikely to be</w:t>
      </w:r>
      <w:r>
        <w:t xml:space="preserve"> </w:t>
      </w:r>
      <w:r>
        <w:t xml:space="preserve">specific to lncRNA stability. Analogous dynamic axes (ribosome occupancy</w:t>
      </w:r>
      <w:r>
        <w:t xml:space="preserve"> </w:t>
      </w:r>
      <w:r>
        <w:t xml:space="preserve">kinetics, chromatin-state half-life, splicing response times) are measurable but</w:t>
      </w:r>
      <w:r>
        <w:t xml:space="preserve"> </w:t>
      </w:r>
      <w:r>
        <w:t xml:space="preserve">similarly absent from the current generation of foundation-model training</w:t>
      </w:r>
      <w:r>
        <w:t xml:space="preserve"> </w:t>
      </w:r>
      <w:r>
        <w:t xml:space="preserve">corpora. We offer the tiered evaluation standard as a common baseline for the</w:t>
      </w:r>
      <w:r>
        <w:t xml:space="preserve"> </w:t>
      </w:r>
      <w:r>
        <w:t xml:space="preserve">RNA and machine-learning communities, and as a testable template for any</w:t>
      </w:r>
      <w:r>
        <w:t xml:space="preserve"> </w:t>
      </w:r>
      <w:r>
        <w:t xml:space="preserve">foundation model whose evaluation labels depend on unobserved state.</w:t>
      </w:r>
    </w:p>
    <w:p>
      <w:r>
        <w:pict>
          <v:rect style="width:0;height:1.5pt" o:hralign="center" o:hrstd="t" o:hr="t"/>
        </w:pict>
      </w:r>
    </w:p>
    <w:bookmarkEnd w:id="15"/>
    <w:bookmarkStart w:id="16" w:name="box-1.-terminology"/>
    <w:p>
      <w:pPr>
        <w:pStyle w:val="Heading2"/>
      </w:pPr>
      <w:r>
        <w:t xml:space="preserve">Box 1. Terminology</w:t>
      </w:r>
    </w:p>
    <w:p>
      <w:pPr>
        <w:pStyle w:val="FirstParagraph"/>
      </w:pPr>
      <w:r>
        <w:t xml:space="preserve">To avoid confusion between classes of inputs used in the benchmark, three terms are</w:t>
      </w:r>
      <w:r>
        <w:t xml:space="preserve"> </w:t>
      </w:r>
      <w:r>
        <w:t xml:space="preserve">used throughout.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Directly evaluated model</w:t>
      </w:r>
      <w:r>
        <w:t xml:space="preserve"> </w:t>
      </w:r>
      <w:r>
        <w:t xml:space="preserve">— the published model run with its original weights</w:t>
      </w:r>
      <w:r>
        <w:t xml:space="preserve"> </w:t>
      </w:r>
      <w:r>
        <w:t xml:space="preserve">and inference pipeline (here: RNA-FM, DeepLncLoc).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Proxy representation</w:t>
      </w:r>
      <w:r>
        <w:t xml:space="preserve"> </w:t>
      </w:r>
      <w:r>
        <w:t xml:space="preserve">— a CPU-feasible surrogate that captures the</w:t>
      </w:r>
      <w:r>
        <w:t xml:space="preserve"> </w:t>
      </w:r>
      <w:r>
        <w:rPr>
          <w:i/>
          <w:iCs/>
        </w:rPr>
        <w:t xml:space="preserve">representational class</w:t>
      </w:r>
      <w:r>
        <w:t xml:space="preserve"> </w:t>
      </w:r>
      <w:r>
        <w:t xml:space="preserve">of a published model without reproducing its weights</w:t>
      </w:r>
      <w:r>
        <w:t xml:space="preserve"> </w:t>
      </w:r>
      <w:r>
        <w:t xml:space="preserve">(here: 4-mer composition as a proxy for RiNALMo 650M; ERNIE-RNA 86M as a proxy for</w:t>
      </w:r>
      <w:r>
        <w:t xml:space="preserve"> </w:t>
      </w:r>
      <w:r>
        <w:t xml:space="preserve">Evo-class 7B genomic language models; ViennaRNA 2-D descriptors as a proxy for</w:t>
      </w:r>
      <w:r>
        <w:t xml:space="preserve"> </w:t>
      </w:r>
      <w:r>
        <w:t xml:space="preserve">RhoFold+).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Classical baseline</w:t>
      </w:r>
      <w:r>
        <w:t xml:space="preserve"> </w:t>
      </w:r>
      <w:r>
        <w:t xml:space="preserve">— non-neural sequence features (k-mer composition) used for</w:t>
      </w:r>
      <w:r>
        <w:t xml:space="preserve"> </w:t>
      </w:r>
      <w:r>
        <w:t xml:space="preserve">reference, conceptually separate from the proxy representations above.</w:t>
      </w:r>
    </w:p>
    <w:p>
      <w:pPr>
        <w:pStyle w:val="FirstParagraph"/>
      </w:pPr>
      <w:r>
        <w:t xml:space="preserve">Full-scale GPU replication of the proxied models is planned and will be reported</w:t>
      </w:r>
      <w:r>
        <w:t xml:space="preserve"> </w:t>
      </w:r>
      <w:r>
        <w:t xml:space="preserve">separately. Throughout this Perspective,</w:t>
      </w:r>
      <w:r>
        <w:t xml:space="preserve"> </w:t>
      </w:r>
      <w:r>
        <w:t xml:space="preserve">“five representations”</w:t>
      </w:r>
      <w:r>
        <w:t xml:space="preserve"> </w:t>
      </w:r>
      <w:r>
        <w:t xml:space="preserve">refers to the</w:t>
      </w:r>
      <w:r>
        <w:t xml:space="preserve"> </w:t>
      </w:r>
      <w:r>
        <w:t xml:space="preserve">representational classes evaluated, not to direct inference of all five published</w:t>
      </w:r>
      <w:r>
        <w:t xml:space="preserve"> </w:t>
      </w:r>
      <w:r>
        <w:t xml:space="preserve">weights.</w:t>
      </w:r>
    </w:p>
    <w:p>
      <w:r>
        <w:pict>
          <v:rect style="width:0;height:1.5pt" o:hralign="center" o:hrstd="t" o:hr="t"/>
        </w:pict>
      </w:r>
    </w:p>
    <w:bookmarkEnd w:id="16"/>
    <w:bookmarkStart w:id="17" w:name="Xfa3f1af9649b9de117c127639d1c59b50bc062d"/>
    <w:p>
      <w:pPr>
        <w:pStyle w:val="Heading2"/>
      </w:pPr>
      <w:r>
        <w:t xml:space="preserve">Box 2. Minimal implementable prototype of dynamic grounding</w:t>
      </w:r>
    </w:p>
    <w:p>
      <w:pPr>
        <w:pStyle w:val="FirstParagraph"/>
      </w:pPr>
      <w:r>
        <w:t xml:space="preserve">A minimal version of the dynamic-grounding layer requires only published resources</w:t>
      </w:r>
      <w:r>
        <w:t xml:space="preserve"> </w:t>
      </w:r>
      <w:r>
        <w:t xml:space="preserve">and a single calibration step.</w:t>
      </w:r>
    </w:p>
    <w:p>
      <w:pPr>
        <w:pStyle w:val="BodyText"/>
      </w:pPr>
      <w:r>
        <w:t xml:space="preserve">Given a transcript</w:t>
      </w:r>
      <w:r>
        <w:t xml:space="preserve"> </w:t>
      </w:r>
      <w:r>
        <w:rPr>
          <w:i/>
          <w:iCs/>
        </w:rPr>
        <w:t xml:space="preserve">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Run the static model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to obtain a raw stability score</w:t>
      </w:r>
      <w:r>
        <w:t xml:space="preserve"> </w:t>
      </w:r>
      <w:r>
        <w:rPr>
          <w:i/>
          <w:iCs/>
        </w:rPr>
        <w:t xml:space="preserve">s(t) ∈ [0, 1]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Retrieve the half-life posterior</w:t>
      </w:r>
      <w:r>
        <w:t xml:space="preserve"> </w:t>
      </w:r>
      <w:r>
        <w:rPr>
          <w:i/>
          <w:iCs/>
        </w:rPr>
        <w:t xml:space="preserve">p(t) = N(μ, σ²)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from the closest matched</w:t>
      </w:r>
      <w:r>
        <w:t xml:space="preserve"> </w:t>
      </w:r>
      <w:r>
        <w:t xml:space="preserve">BRIC-seq / SLAM-seq / TimeLapse-seq dataset; default to the cell-system average</w:t>
      </w:r>
      <w:r>
        <w:t xml:space="preserve"> </w:t>
      </w:r>
      <w:r>
        <w:t xml:space="preserve">when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 unmeasured.</w:t>
      </w:r>
    </w:p>
    <w:p>
      <w:pPr>
        <w:pStyle w:val="Compact"/>
        <w:numPr>
          <w:ilvl w:val="0"/>
          <w:numId w:val="1002"/>
        </w:numPr>
      </w:pPr>
      <w:r>
        <w:t xml:space="preserve">Retrieve the localisation prior</w:t>
      </w:r>
      <w:r>
        <w:t xml:space="preserve"> </w:t>
      </w:r>
      <w:r>
        <w:rPr>
          <w:i/>
          <w:iCs/>
        </w:rPr>
        <w:t xml:space="preserve">ℓ(t)</w:t>
      </w:r>
      <w:r>
        <w:t xml:space="preserve"> </w:t>
      </w:r>
      <w:r>
        <w:t xml:space="preserve">from CeFra-seq</w:t>
      </w:r>
      <w:r>
        <w:rPr>
          <w:vertAlign w:val="superscript"/>
        </w:rPr>
        <w:t xml:space="preserve">17</w:t>
      </w:r>
      <w:r>
        <w:t xml:space="preserve"> </w:t>
      </w:r>
      <w:r>
        <w:t xml:space="preserve">/ APEX-seq</w:t>
      </w:r>
      <w:r>
        <w:rPr>
          <w:vertAlign w:val="superscript"/>
        </w:rPr>
        <w:t xml:space="preserve">18</w:t>
      </w:r>
      <w:r>
        <w:t xml:space="preserve">, or —</w:t>
      </w:r>
      <w:r>
        <w:t xml:space="preserve"> </w:t>
      </w:r>
      <w:r>
        <w:t xml:space="preserve">when such measurements are unavailable — fall back on DeepLncLoc predictions as</w:t>
      </w:r>
      <w:r>
        <w:t xml:space="preserve"> </w:t>
      </w:r>
      <w:r>
        <w:t xml:space="preserve">a pragmatic surrogate, noting that this reuses one of the evaluated models as a</w:t>
      </w:r>
      <w:r>
        <w:t xml:space="preserve"> </w:t>
      </w:r>
      <w:r>
        <w:t xml:space="preserve">provider of prior information rather than as a target of grounding.</w:t>
      </w:r>
    </w:p>
    <w:p>
      <w:pPr>
        <w:pStyle w:val="Compact"/>
        <w:numPr>
          <w:ilvl w:val="0"/>
          <w:numId w:val="1002"/>
        </w:numPr>
      </w:pPr>
      <w:r>
        <w:t xml:space="preserve">Combine into a calibrated prediction *s′(t) = σ(w₁ · logit s(t) + w₂ · z(μ_p)</w:t>
      </w:r>
    </w:p>
    <w:p>
      <w:pPr>
        <w:pStyle w:val="Compact"/>
        <w:numPr>
          <w:ilvl w:val="1"/>
          <w:numId w:val="1003"/>
        </w:numPr>
      </w:pPr>
      <w:r>
        <w:t xml:space="preserve">w₃ · logit ℓ(t))</w:t>
      </w:r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w:r>
        <w:t xml:space="preserve">z(μ_p)* is the z-standardised posterior-mean</w:t>
      </w:r>
      <w:r>
        <w:t xml:space="preserve"> </w:t>
      </w:r>
      <w:r>
        <w:t xml:space="preserve">half-life and the three weights are fitted by logistic calibration on a</w:t>
      </w:r>
      <w:r>
        <w:t xml:space="preserve"> </w:t>
      </w:r>
      <w:r>
        <w:t xml:space="preserve">held-out fold.</w:t>
      </w:r>
    </w:p>
    <w:p>
      <w:pPr>
        <w:pStyle w:val="FirstParagraph"/>
      </w:pPr>
      <w:r>
        <w:t xml:space="preserve">In practice, step 4 reduces to a low-dimensional logistic regression that combines</w:t>
      </w:r>
      <w:r>
        <w:t xml:space="preserve"> </w:t>
      </w:r>
      <w:r>
        <w:t xml:space="preserve">the static score with two orthogonal priors, and can be implemented with standard</w:t>
      </w:r>
      <w:r>
        <w:t xml:space="preserve"> </w:t>
      </w:r>
      <w:r>
        <w:t xml:space="preserve">calibration toolkits. The only additional inputs beyond the original model are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,</w:t>
      </w:r>
      <w:r>
        <w:t xml:space="preserve"> </w:t>
      </w:r>
      <w:r>
        <w:rPr>
          <w:i/>
          <w:iCs/>
        </w:rPr>
        <w:t xml:space="preserve">ℓ</w:t>
      </w:r>
      <w:r>
        <w:t xml:space="preserve">), both of which are recoverable from publicly available resources for</w:t>
      </w:r>
      <w:r>
        <w:t xml:space="preserve"> </w:t>
      </w:r>
      <w:r>
        <w:t xml:space="preserve">any cell system with a BRIC-seq / SLAM-seq / TimeLapse-seq dataset. Richer</w:t>
      </w:r>
      <w:r>
        <w:t xml:space="preserve"> </w:t>
      </w:r>
      <w:r>
        <w:t xml:space="preserve">conditioning (structured priors, kinetic-aware pretraining objectives, multi-task</w:t>
      </w:r>
      <w:r>
        <w:t xml:space="preserve"> </w:t>
      </w:r>
      <w:r>
        <w:t xml:space="preserve">training on turnover labels) are natural next steps but are not required for the</w:t>
      </w:r>
      <w:r>
        <w:t xml:space="preserve"> </w:t>
      </w:r>
      <w:r>
        <w:t xml:space="preserve">framework to be useful.</w:t>
      </w:r>
    </w:p>
    <w:p>
      <w:r>
        <w:pict>
          <v:rect style="width:0;height:1.5pt" o:hralign="center" o:hrstd="t" o:hr="t"/>
        </w:pict>
      </w:r>
    </w:p>
    <w:bookmarkEnd w:id="17"/>
    <w:bookmarkStart w:id="18" w:name="methods-summary"/>
    <w:p>
      <w:pPr>
        <w:pStyle w:val="Heading2"/>
      </w:pPr>
      <w:r>
        <w:t xml:space="preserve">Methods summary</w:t>
      </w:r>
    </w:p>
    <w:p>
      <w:pPr>
        <w:pStyle w:val="FirstParagraph"/>
      </w:pPr>
      <w:r>
        <w:t xml:space="preserve">The benchmark is held to the minimum detail needed to interpret the Perspective;</w:t>
      </w:r>
      <w:r>
        <w:t xml:space="preserve"> </w:t>
      </w:r>
      <w:r>
        <w:t xml:space="preserve">full protocols and code will accompany the deposition. Test set: 256 lncRNAs from</w:t>
      </w:r>
      <w:r>
        <w:t xml:space="preserve"> </w:t>
      </w:r>
      <w:r>
        <w:t xml:space="preserve">GENCODE v44 expressed above TPM ≥ 3 in at least one of four cell systems (HeLa,</w:t>
      </w:r>
      <w:r>
        <w:t xml:space="preserve"> </w:t>
      </w:r>
      <w:r>
        <w:t xml:space="preserve">HeLa-TetOff, mouse embryonic stem cells, K562); binary labels stable (t½ &gt; 8 h,</w:t>
      </w:r>
      <w:r>
        <w:t xml:space="preserve"> </w:t>
      </w:r>
      <w:r>
        <w:t xml:space="preserve">n = 40) and unstable (t½ &lt; 2 h, n = 76) define the 116-sequence classification</w:t>
      </w:r>
      <w:r>
        <w:t xml:space="preserve"> </w:t>
      </w:r>
      <w:r>
        <w:t xml:space="preserve">subset, with the remaining 140 transcripts used only for continuous regression.</w:t>
      </w:r>
      <w:r>
        <w:t xml:space="preserve"> </w:t>
      </w:r>
      <w:r>
        <w:t xml:space="preserve">Half-life ground truth combines BRIC-seq</w:t>
      </w:r>
      <w:r>
        <w:rPr>
          <w:vertAlign w:val="superscript"/>
        </w:rPr>
        <w:t xml:space="preserve">10</w:t>
      </w:r>
      <w:r>
        <w:t xml:space="preserve">, SLAM-seq</w:t>
      </w:r>
      <w:r>
        <w:rPr>
          <w:vertAlign w:val="superscript"/>
        </w:rPr>
        <w:t xml:space="preserve">11</w:t>
      </w:r>
      <w:r>
        <w:t xml:space="preserve"> </w:t>
      </w:r>
      <w:r>
        <w:t xml:space="preserve">and TimeLapse-seq</w:t>
      </w:r>
      <w:r>
        <w:rPr>
          <w:vertAlign w:val="superscript"/>
        </w:rPr>
        <w:t xml:space="preserve">12</w:t>
      </w:r>
      <w:r>
        <w:t xml:space="preserve"> </w:t>
      </w:r>
      <w:r>
        <w:t xml:space="preserve">across the four cell systems. Representations: two direct (RNA-FM</w:t>
      </w:r>
      <w:r>
        <w:rPr>
          <w:vertAlign w:val="superscript"/>
        </w:rPr>
        <w:t xml:space="preserve">5</w:t>
      </w:r>
      <w:r>
        <w:t xml:space="preserve">, DeepLncLoc</w:t>
      </w:r>
      <w:r>
        <w:rPr>
          <w:vertAlign w:val="superscript"/>
        </w:rPr>
        <w:t xml:space="preserve">9</w:t>
      </w:r>
      <w:r>
        <w:t xml:space="preserve">)</w:t>
      </w:r>
      <w:r>
        <w:t xml:space="preserve"> </w:t>
      </w:r>
      <w:r>
        <w:t xml:space="preserve">and three proxies capturing representational class (4-mer composition for</w:t>
      </w:r>
      <w:r>
        <w:t xml:space="preserve"> </w:t>
      </w:r>
      <w:r>
        <w:t xml:space="preserve">RiNALMo</w:t>
      </w:r>
      <w:r>
        <w:rPr>
          <w:vertAlign w:val="superscript"/>
        </w:rPr>
        <w:t xml:space="preserve">6</w:t>
      </w:r>
      <w:r>
        <w:t xml:space="preserve">; ERNIE-RNA</w:t>
      </w:r>
      <w:r>
        <w:rPr>
          <w:vertAlign w:val="superscript"/>
        </w:rPr>
        <w:t xml:space="preserve">16</w:t>
      </w:r>
      <w:r>
        <w:t xml:space="preserve"> </w:t>
      </w:r>
      <w:r>
        <w:t xml:space="preserve">for Evo-class</w:t>
      </w:r>
      <w:r>
        <w:rPr>
          <w:vertAlign w:val="superscript"/>
        </w:rPr>
        <w:t xml:space="preserve">7</w:t>
      </w:r>
      <w:r>
        <w:t xml:space="preserve"> </w:t>
      </w:r>
      <w:r>
        <w:t xml:space="preserve">genomic language models; ViennaRNA</w:t>
      </w:r>
      <w:r>
        <w:rPr>
          <w:vertAlign w:val="superscript"/>
        </w:rPr>
        <w:t xml:space="preserve">15</w:t>
      </w:r>
      <w:r>
        <w:t xml:space="preserve"> </w:t>
      </w:r>
      <w:r>
        <w:t xml:space="preserve">thermodynamic descriptors for RhoFold+</w:t>
      </w:r>
      <w:r>
        <w:rPr>
          <w:vertAlign w:val="superscript"/>
        </w:rPr>
        <w:t xml:space="preserve">8</w:t>
      </w:r>
      <w:r>
        <w:t xml:space="preserve">; see Box 1). Downstream stack: logistic</w:t>
      </w:r>
      <w:r>
        <w:t xml:space="preserve"> </w:t>
      </w:r>
      <w:r>
        <w:t xml:space="preserve">regression, ridge regression, and a 2-layer MLP (64 hidden units). Primary</w:t>
      </w:r>
      <w:r>
        <w:t xml:space="preserve"> </w:t>
      </w:r>
      <w:r>
        <w:t xml:space="preserve">cross-validation is gene-disjoint 5-fold stratified, so that no</w:t>
      </w:r>
      <w:r>
        <w:t xml:space="preserve"> </w:t>
      </w:r>
      <w:r>
        <w:rPr>
          <w:rStyle w:val="VerbatimChar"/>
        </w:rPr>
        <w:t xml:space="preserve">gene_id</w:t>
      </w:r>
      <w:r>
        <w:t xml:space="preserve"> </w:t>
      </w:r>
      <w:r>
        <w:t xml:space="preserve">contributes to both the training and test folds; leave-one-cell-out is reported as</w:t>
      </w:r>
      <w:r>
        <w:t xml:space="preserve"> </w:t>
      </w:r>
      <w:r>
        <w:t xml:space="preserve">a diagnostic only. Uncertainty is reported as per-fold mean ± standard deviation</w:t>
      </w:r>
      <w:r>
        <w:t xml:space="preserve"> </w:t>
      </w:r>
      <w:r>
        <w:t xml:space="preserve">with bootstrap 95% confidence intervals (1,000 resamples) for the headline</w:t>
      </w:r>
      <w:r>
        <w:t xml:space="preserve"> </w:t>
      </w:r>
      <w:r>
        <w:t xml:space="preserve">comparisons; formal paired tests (DeLong, paired bootstrap) are under-powered at</w:t>
      </w:r>
      <w:r>
        <w:t xml:space="preserve"> </w:t>
      </w:r>
      <w:r>
        <w:t xml:space="preserve">this sample size and are treated as a limitation.</w:t>
      </w:r>
    </w:p>
    <w:bookmarkEnd w:id="18"/>
    <w:bookmarkStart w:id="19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Annotation (GENCODE v44) and the half-life ground-truth datasets are publicly</w:t>
      </w:r>
      <w:r>
        <w:t xml:space="preserve"> </w:t>
      </w:r>
      <w:r>
        <w:t xml:space="preserve">available (BRIC-seq: DDBJ DRA000345–350, DRA000357–361; SLAM-seq: GEO GSE99978;</w:t>
      </w:r>
      <w:r>
        <w:t xml:space="preserve"> </w:t>
      </w:r>
      <w:r>
        <w:t xml:space="preserve">TimeLapse-seq: GEO GSE95854). Model weights follow each model’s original</w:t>
      </w:r>
      <w:r>
        <w:t xml:space="preserve"> </w:t>
      </w:r>
      <w:r>
        <w:t xml:space="preserve">repository. Benchmark scripts, processed embeddings with fold assignments, and</w:t>
      </w:r>
      <w:r>
        <w:t xml:space="preserve"> </w:t>
      </w:r>
      <w:r>
        <w:t xml:space="preserve">figure generators will be deposited in a public repository on publication; the URL</w:t>
      </w:r>
      <w:r>
        <w:t xml:space="preserve"> </w:t>
      </w:r>
      <w:r>
        <w:t xml:space="preserve">will be added at the proof stage.</w:t>
      </w:r>
    </w:p>
    <w:bookmarkEnd w:id="19"/>
    <w:bookmarkStart w:id="2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colleagues at Yokohama University of Pharmaceutical Sciences for</w:t>
      </w:r>
      <w:r>
        <w:t xml:space="preserve"> </w:t>
      </w:r>
      <w:r>
        <w:t xml:space="preserve">helpful discussions on lncRNA biology and computational benchmarking.</w:t>
      </w:r>
    </w:p>
    <w:bookmarkEnd w:id="20"/>
    <w:bookmarkStart w:id="21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H.T. designed the study, conducted all analyses and wrote the manuscript.</w:t>
      </w:r>
    </w:p>
    <w:bookmarkEnd w:id="21"/>
    <w:bookmarkStart w:id="2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p>
      <w:r>
        <w:pict>
          <v:rect style="width:0;height:1.5pt" o:hralign="center" o:hrstd="t" o:hr="t"/>
        </w:pict>
      </w:r>
    </w:p>
    <w:bookmarkEnd w:id="22"/>
    <w:bookmarkStart w:id="23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Conceptual overview. Static RNA AI models predict lncRNA function from</w:t>
      </w:r>
      <w:r>
        <w:t xml:space="preserve"> </w:t>
      </w:r>
      <w:r>
        <w:t xml:space="preserve">sequence alone, missing the dynamic axis (turnover, localisation) captured by</w:t>
      </w:r>
      <w:r>
        <w:t xml:space="preserve"> </w:t>
      </w:r>
      <w:r>
        <w:t xml:space="preserve">BRIC-seq, SLAM-seq and TimeLapse-seq. Dynamic grounding conditions static</w:t>
      </w:r>
      <w:r>
        <w:t xml:space="preserve"> </w:t>
      </w:r>
      <w:r>
        <w:t xml:space="preserve">predictions on measurable biological state.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AUROC heatmap across five RNA AI representation classes and three</w:t>
      </w:r>
      <w:r>
        <w:t xml:space="preserve"> </w:t>
      </w:r>
      <w:r>
        <w:t xml:space="preserve">downstream classifiers (logistic regression, ridge regression, MLP) under</w:t>
      </w:r>
      <w:r>
        <w:t xml:space="preserve"> </w:t>
      </w:r>
      <w:r>
        <w:t xml:space="preserve">gene-disjoint 5-fold stratified cross-validation on the 116-sequence classifiable</w:t>
      </w:r>
      <w:r>
        <w:t xml:space="preserve"> </w:t>
      </w:r>
      <w:r>
        <w:t xml:space="preserve">subset.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Predicted versus measured log₂(half-life) for each representation</w:t>
      </w:r>
      <w:r>
        <w:t xml:space="preserve"> </w:t>
      </w:r>
      <w:r>
        <w:t xml:space="preserve">class, with Spearman ρ in panel headers.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Consensus-failure analysis: the 12 lncRNAs misclassified by every</w:t>
      </w:r>
      <w:r>
        <w:t xml:space="preserve"> </w:t>
      </w:r>
      <w:r>
        <w:t xml:space="preserve">one of the five representation classes under gene-disjoint 5-fold stratified</w:t>
      </w:r>
      <w:r>
        <w:t xml:space="preserve"> </w:t>
      </w:r>
      <w:r>
        <w:t xml:space="preserve">cross-validation.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Dynamic grounding framework: static prediction → dynamic constraint</w:t>
      </w:r>
      <w:r>
        <w:t xml:space="preserve"> </w:t>
      </w:r>
      <w:r>
        <w:t xml:space="preserve">(turnover + localisation priors) → biology-aware calibrated output. Worked example:</w:t>
      </w:r>
      <w:r>
        <w:t xml:space="preserve"> </w:t>
      </w:r>
      <w:r>
        <w:rPr>
          <w:i/>
          <w:iCs/>
        </w:rPr>
        <w:t xml:space="preserve">NEAT1</w:t>
      </w:r>
      <w:r>
        <w:t xml:space="preserve"> </w:t>
      </w:r>
      <w:r>
        <w:t xml:space="preserve">(nuclear, long half-life). The grounding layer is model-agnostic and</w:t>
      </w:r>
      <w:r>
        <w:t xml:space="preserve"> </w:t>
      </w:r>
      <w:r>
        <w:t xml:space="preserve">compatible with any existing sequence-only RNA foundation model.</w:t>
      </w:r>
    </w:p>
    <w:bookmarkEnd w:id="23"/>
    <w:bookmarkStart w:id="24" w:name="table-legends"/>
    <w:p>
      <w:pPr>
        <w:pStyle w:val="Heading2"/>
      </w:pPr>
      <w:r>
        <w:t xml:space="preserve">Table legends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Five RNA AI representation classes benchmarked: original model,</w:t>
      </w:r>
      <w:r>
        <w:t xml:space="preserve"> </w:t>
      </w:r>
      <w:r>
        <w:t xml:space="preserve">direct-versus-proxy evaluation, embedding dimensionality, licence and primary</w:t>
      </w:r>
      <w:r>
        <w:t xml:space="preserve"> </w:t>
      </w:r>
      <w:r>
        <w:t xml:space="preserve">reference.</w:t>
      </w:r>
    </w:p>
    <w:bookmarkEnd w:id="24"/>
    <w:bookmarkStart w:id="25" w:name="supplementary-figure-legends"/>
    <w:p>
      <w:pPr>
        <w:pStyle w:val="Heading2"/>
      </w:pPr>
      <w:r>
        <w:t xml:space="preserve">Supplementary figure legends</w:t>
      </w:r>
    </w:p>
    <w:p>
      <w:pPr>
        <w:pStyle w:val="FirstParagraph"/>
      </w:pPr>
      <w:r>
        <w:rPr>
          <w:b/>
          <w:bCs/>
        </w:rPr>
        <w:t xml:space="preserve">Supplementary Figure 1.</w:t>
      </w:r>
      <w:r>
        <w:t xml:space="preserve"> </w:t>
      </w:r>
      <w:r>
        <w:t xml:space="preserve">Length-stratified classification performance across</w:t>
      </w:r>
      <w:r>
        <w:t xml:space="preserve"> </w:t>
      </w:r>
      <w:r>
        <w:t xml:space="preserve">the five representation classes, binned by transcript length (≤ 1.5 kb, 1.5–3</w:t>
      </w:r>
      <w:r>
        <w:t xml:space="preserve"> </w:t>
      </w:r>
      <w:r>
        <w:t xml:space="preserve">kb, &gt; 3 kb).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Nature numeric style.</w:t>
      </w:r>
    </w:p>
    <w:p>
      <w:pPr>
        <w:pStyle w:val="Compact"/>
        <w:numPr>
          <w:ilvl w:val="0"/>
          <w:numId w:val="1004"/>
        </w:numPr>
      </w:pPr>
      <w:r>
        <w:t xml:space="preserve">Jumper,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Highly accurate protein structure prediction with AlphaFold.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596</w:t>
      </w:r>
      <w:r>
        <w:t xml:space="preserve">, 583–589 (2021).</w:t>
      </w:r>
    </w:p>
    <w:p>
      <w:pPr>
        <w:pStyle w:val="Compact"/>
        <w:numPr>
          <w:ilvl w:val="0"/>
          <w:numId w:val="1004"/>
        </w:numPr>
      </w:pPr>
      <w:r>
        <w:t xml:space="preserve">Abramson,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Accurate structure prediction of biomolecular interactions</w:t>
      </w:r>
      <w:r>
        <w:t xml:space="preserve"> </w:t>
      </w:r>
      <w:r>
        <w:t xml:space="preserve">with AlphaFold 3.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630</w:t>
      </w:r>
      <w:r>
        <w:t xml:space="preserve">, 493–500 (2024).</w:t>
      </w:r>
    </w:p>
    <w:p>
      <w:pPr>
        <w:pStyle w:val="Compact"/>
        <w:numPr>
          <w:ilvl w:val="0"/>
          <w:numId w:val="1004"/>
        </w:numPr>
      </w:pPr>
      <w:r>
        <w:t xml:space="preserve">Hirose, T.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NEAT1 long noncoding RNA regulates transcription via protein</w:t>
      </w:r>
      <w:r>
        <w:t xml:space="preserve"> </w:t>
      </w:r>
      <w:r>
        <w:t xml:space="preserve">sequestration within subnuclear bodies.</w:t>
      </w:r>
      <w:r>
        <w:t xml:space="preserve"> </w:t>
      </w:r>
      <w:r>
        <w:rPr>
          <w:i/>
          <w:iCs/>
        </w:rPr>
        <w:t xml:space="preserve">Mol. Biol. Cell</w:t>
      </w:r>
      <w:r>
        <w:t xml:space="preserve"> </w:t>
      </w:r>
      <w:r>
        <w:rPr>
          <w:b/>
          <w:bCs/>
        </w:rPr>
        <w:t xml:space="preserve">25</w:t>
      </w:r>
      <w:r>
        <w:t xml:space="preserve">, 169–183 (2014).</w:t>
      </w:r>
    </w:p>
    <w:p>
      <w:pPr>
        <w:pStyle w:val="Compact"/>
        <w:numPr>
          <w:ilvl w:val="0"/>
          <w:numId w:val="1004"/>
        </w:numPr>
      </w:pPr>
      <w:r>
        <w:t xml:space="preserve">Statello, 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Gene regulation by long non-coding RNAs and its biological</w:t>
      </w:r>
      <w:r>
        <w:t xml:space="preserve"> </w:t>
      </w:r>
      <w:r>
        <w:t xml:space="preserve">functions.</w:t>
      </w:r>
      <w:r>
        <w:t xml:space="preserve"> </w:t>
      </w:r>
      <w:r>
        <w:rPr>
          <w:i/>
          <w:iCs/>
        </w:rPr>
        <w:t xml:space="preserve">Nat. Rev. Mol. Cell Biol.</w:t>
      </w:r>
      <w:r>
        <w:t xml:space="preserve"> </w:t>
      </w:r>
      <w:r>
        <w:rPr>
          <w:b/>
          <w:bCs/>
        </w:rPr>
        <w:t xml:space="preserve">22</w:t>
      </w:r>
      <w:r>
        <w:t xml:space="preserve">, 96–118 (2021).</w:t>
      </w:r>
    </w:p>
    <w:p>
      <w:pPr>
        <w:pStyle w:val="Compact"/>
        <w:numPr>
          <w:ilvl w:val="0"/>
          <w:numId w:val="1004"/>
        </w:numPr>
      </w:pPr>
      <w:r>
        <w:t xml:space="preserve">Chen,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Interpretable RNA foundation model from unannotated data for</w:t>
      </w:r>
      <w:r>
        <w:t xml:space="preserve"> </w:t>
      </w:r>
      <w:r>
        <w:t xml:space="preserve">highly accurate RNA structure and function predictions.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10.1101/2022.08.06.503062 (2022).</w:t>
      </w:r>
    </w:p>
    <w:p>
      <w:pPr>
        <w:pStyle w:val="Compact"/>
        <w:numPr>
          <w:ilvl w:val="0"/>
          <w:numId w:val="1004"/>
        </w:numPr>
      </w:pPr>
      <w:r>
        <w:t xml:space="preserve">Penić, R.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RiNALMo: general-purpose RNA language models can generalize</w:t>
      </w:r>
      <w:r>
        <w:t xml:space="preserve"> </w:t>
      </w:r>
      <w:r>
        <w:t xml:space="preserve">well on structure prediction tasks.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 </w:t>
      </w:r>
      <w:r>
        <w:rPr>
          <w:b/>
          <w:bCs/>
        </w:rPr>
        <w:t xml:space="preserve">16</w:t>
      </w:r>
      <w:r>
        <w:t xml:space="preserve">, 5671 (2025).</w:t>
      </w:r>
    </w:p>
    <w:p>
      <w:pPr>
        <w:pStyle w:val="Compact"/>
        <w:numPr>
          <w:ilvl w:val="0"/>
          <w:numId w:val="1004"/>
        </w:numPr>
      </w:pPr>
      <w:r>
        <w:t xml:space="preserve">Nguyen, E.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Sequence modeling and design from molecular to genome scale</w:t>
      </w:r>
      <w:r>
        <w:t xml:space="preserve"> </w:t>
      </w:r>
      <w:r>
        <w:t xml:space="preserve">with Evo.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386</w:t>
      </w:r>
      <w:r>
        <w:t xml:space="preserve">, eado9336 (2024).</w:t>
      </w:r>
    </w:p>
    <w:p>
      <w:pPr>
        <w:pStyle w:val="Compact"/>
        <w:numPr>
          <w:ilvl w:val="0"/>
          <w:numId w:val="1004"/>
        </w:numPr>
      </w:pPr>
      <w:r>
        <w:t xml:space="preserve">Shen, T.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Accurate RNA 3D structure prediction using a language</w:t>
      </w:r>
      <w:r>
        <w:t xml:space="preserve"> </w:t>
      </w:r>
      <w:r>
        <w:t xml:space="preserve">model-based deep learning approach.</w:t>
      </w:r>
      <w:r>
        <w:t xml:space="preserve"> </w:t>
      </w:r>
      <w:r>
        <w:rPr>
          <w:i/>
          <w:iCs/>
        </w:rPr>
        <w:t xml:space="preserve">Nat. Methods</w:t>
      </w:r>
      <w:r>
        <w:t xml:space="preserve"> </w:t>
      </w:r>
      <w:r>
        <w:rPr>
          <w:b/>
          <w:bCs/>
        </w:rPr>
        <w:t xml:space="preserve">21</w:t>
      </w:r>
      <w:r>
        <w:t xml:space="preserve">, 2287–2298 (2024).</w:t>
      </w:r>
    </w:p>
    <w:p>
      <w:pPr>
        <w:pStyle w:val="Compact"/>
        <w:numPr>
          <w:ilvl w:val="0"/>
          <w:numId w:val="1004"/>
        </w:numPr>
      </w:pPr>
      <w:r>
        <w:t xml:space="preserve">Zeng, M.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DeepLncLoc: a deep learning framework for long non-coding RNA</w:t>
      </w:r>
      <w:r>
        <w:t xml:space="preserve"> </w:t>
      </w:r>
      <w:r>
        <w:t xml:space="preserve">subcellular localization prediction based on subsequence embedding.</w:t>
      </w:r>
      <w:r>
        <w:t xml:space="preserve"> </w:t>
      </w:r>
      <w:r>
        <w:rPr>
          <w:i/>
          <w:iCs/>
        </w:rPr>
        <w:t xml:space="preserve">Brief. Bioinform.</w:t>
      </w:r>
      <w:r>
        <w:t xml:space="preserve"> </w:t>
      </w:r>
      <w:r>
        <w:rPr>
          <w:b/>
          <w:bCs/>
        </w:rPr>
        <w:t xml:space="preserve">23</w:t>
      </w:r>
      <w:r>
        <w:t xml:space="preserve">, bbab360 (2022).</w:t>
      </w:r>
    </w:p>
    <w:p>
      <w:pPr>
        <w:pStyle w:val="Compact"/>
        <w:numPr>
          <w:ilvl w:val="0"/>
          <w:numId w:val="1004"/>
        </w:numPr>
      </w:pPr>
      <w:r>
        <w:t xml:space="preserve">Tani, H.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Genome-wide determination of RNA stability reveals hundreds of</w:t>
      </w:r>
      <w:r>
        <w:t xml:space="preserve"> </w:t>
      </w:r>
      <w:r>
        <w:t xml:space="preserve">short-lived noncoding transcripts in mammals.</w:t>
      </w:r>
      <w:r>
        <w:t xml:space="preserve"> </w:t>
      </w:r>
      <w:r>
        <w:rPr>
          <w:i/>
          <w:iCs/>
        </w:rPr>
        <w:t xml:space="preserve">Genome Res.</w:t>
      </w:r>
      <w:r>
        <w:t xml:space="preserve"> </w:t>
      </w:r>
      <w:r>
        <w:rPr>
          <w:b/>
          <w:bCs/>
        </w:rPr>
        <w:t xml:space="preserve">22</w:t>
      </w:r>
      <w:r>
        <w:t xml:space="preserve">, 947–956</w:t>
      </w:r>
      <w:r>
        <w:t xml:space="preserve"> </w:t>
      </w:r>
      <w:r>
        <w:t xml:space="preserve">(2012).</w:t>
      </w:r>
    </w:p>
    <w:p>
      <w:pPr>
        <w:pStyle w:val="Compact"/>
        <w:numPr>
          <w:ilvl w:val="0"/>
          <w:numId w:val="1004"/>
        </w:numPr>
      </w:pPr>
      <w:r>
        <w:t xml:space="preserve">Herzog, V.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Thiol-linked alkylation of RNA to assess expression</w:t>
      </w:r>
      <w:r>
        <w:t xml:space="preserve"> </w:t>
      </w:r>
      <w:r>
        <w:t xml:space="preserve">dynamics.</w:t>
      </w:r>
      <w:r>
        <w:t xml:space="preserve"> </w:t>
      </w:r>
      <w:r>
        <w:rPr>
          <w:i/>
          <w:iCs/>
        </w:rPr>
        <w:t xml:space="preserve">Nat. Methods</w:t>
      </w:r>
      <w:r>
        <w:t xml:space="preserve"> </w:t>
      </w:r>
      <w:r>
        <w:rPr>
          <w:b/>
          <w:bCs/>
        </w:rPr>
        <w:t xml:space="preserve">14</w:t>
      </w:r>
      <w:r>
        <w:t xml:space="preserve">, 1198–1204 (2017).</w:t>
      </w:r>
    </w:p>
    <w:p>
      <w:pPr>
        <w:pStyle w:val="Compact"/>
        <w:numPr>
          <w:ilvl w:val="0"/>
          <w:numId w:val="1004"/>
        </w:numPr>
      </w:pPr>
      <w:r>
        <w:t xml:space="preserve">Schofield, J.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TimeLapse-seq: adding a temporal dimension to RNA</w:t>
      </w:r>
      <w:r>
        <w:t xml:space="preserve"> </w:t>
      </w:r>
      <w:r>
        <w:t xml:space="preserve">sequencing through nucleoside recoding.</w:t>
      </w:r>
      <w:r>
        <w:t xml:space="preserve"> </w:t>
      </w:r>
      <w:r>
        <w:rPr>
          <w:i/>
          <w:iCs/>
        </w:rPr>
        <w:t xml:space="preserve">Nat. Methods</w:t>
      </w:r>
      <w:r>
        <w:t xml:space="preserve"> </w:t>
      </w:r>
      <w:r>
        <w:rPr>
          <w:b/>
          <w:bCs/>
        </w:rPr>
        <w:t xml:space="preserve">15</w:t>
      </w:r>
      <w:r>
        <w:t xml:space="preserve">, 221–225 (2018).</w:t>
      </w:r>
    </w:p>
    <w:p>
      <w:pPr>
        <w:pStyle w:val="Compact"/>
        <w:numPr>
          <w:ilvl w:val="0"/>
          <w:numId w:val="1004"/>
        </w:numPr>
      </w:pPr>
      <w:r>
        <w:t xml:space="preserve">Zhang, Z.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RNAGenesis: a generalist foundation model for functional RNA</w:t>
      </w:r>
      <w:r>
        <w:t xml:space="preserve"> </w:t>
      </w:r>
      <w:r>
        <w:t xml:space="preserve">therapeutics.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t xml:space="preserve">10.1101/2024.12.30.630826 (2024).</w:t>
      </w:r>
    </w:p>
    <w:p>
      <w:pPr>
        <w:pStyle w:val="Compact"/>
        <w:numPr>
          <w:ilvl w:val="0"/>
          <w:numId w:val="1004"/>
        </w:numPr>
      </w:pPr>
      <w:r>
        <w:t xml:space="preserve">Tripathi, V.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The nuclear-retained noncoding RNA MALAT1 regulates</w:t>
      </w:r>
      <w:r>
        <w:t xml:space="preserve"> </w:t>
      </w:r>
      <w:r>
        <w:t xml:space="preserve">alternative splicing by modulating SR splicing factor phosphorylation.</w:t>
      </w:r>
      <w:r>
        <w:t xml:space="preserve"> </w:t>
      </w:r>
      <w:r>
        <w:rPr>
          <w:i/>
          <w:iCs/>
        </w:rPr>
        <w:t xml:space="preserve">Mol. Cell</w:t>
      </w:r>
      <w:r>
        <w:t xml:space="preserve"> </w:t>
      </w:r>
      <w:r>
        <w:rPr>
          <w:b/>
          <w:bCs/>
        </w:rPr>
        <w:t xml:space="preserve">39</w:t>
      </w:r>
      <w:r>
        <w:t xml:space="preserve">, 925–938 (2010).</w:t>
      </w:r>
    </w:p>
    <w:p>
      <w:pPr>
        <w:pStyle w:val="Compact"/>
        <w:numPr>
          <w:ilvl w:val="0"/>
          <w:numId w:val="1004"/>
        </w:numPr>
      </w:pPr>
      <w:r>
        <w:t xml:space="preserve">Lorenz, R.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ViennaRNA Package 2.0.</w:t>
      </w:r>
      <w:r>
        <w:t xml:space="preserve"> </w:t>
      </w:r>
      <w:r>
        <w:rPr>
          <w:i/>
          <w:iCs/>
        </w:rPr>
        <w:t xml:space="preserve">Algorithms Mol. Biol.</w:t>
      </w:r>
      <w:r>
        <w:t xml:space="preserve"> </w:t>
      </w:r>
      <w:r>
        <w:rPr>
          <w:b/>
          <w:bCs/>
        </w:rPr>
        <w:t xml:space="preserve">6</w:t>
      </w:r>
      <w:r>
        <w:t xml:space="preserve">, 26</w:t>
      </w:r>
      <w:r>
        <w:t xml:space="preserve"> </w:t>
      </w:r>
      <w:r>
        <w:t xml:space="preserve">(2011).</w:t>
      </w:r>
    </w:p>
    <w:p>
      <w:pPr>
        <w:pStyle w:val="Compact"/>
        <w:numPr>
          <w:ilvl w:val="0"/>
          <w:numId w:val="1004"/>
        </w:numPr>
      </w:pPr>
      <w:r>
        <w:t xml:space="preserve">Yin, W.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ERNIE-RNA: an RNA language model with structure-enhanced</w:t>
      </w:r>
      <w:r>
        <w:t xml:space="preserve"> </w:t>
      </w:r>
      <w:r>
        <w:t xml:space="preserve">representations.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 </w:t>
      </w:r>
      <w:r>
        <w:rPr>
          <w:b/>
          <w:bCs/>
        </w:rPr>
        <w:t xml:space="preserve">16</w:t>
      </w:r>
      <w:r>
        <w:t xml:space="preserve">, 10076 (2025).</w:t>
      </w:r>
    </w:p>
    <w:p>
      <w:pPr>
        <w:pStyle w:val="Compact"/>
        <w:numPr>
          <w:ilvl w:val="0"/>
          <w:numId w:val="1004"/>
        </w:numPr>
      </w:pPr>
      <w:r>
        <w:t xml:space="preserve">Benoit Bouvrette, L. P.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CeFra-seq reveals broad asymmetric mRNA and</w:t>
      </w:r>
      <w:r>
        <w:t xml:space="preserve"> </w:t>
      </w:r>
      <w:r>
        <w:t xml:space="preserve">noncoding RNA distribution profiles in Drosophila and human cells.</w:t>
      </w:r>
      <w:r>
        <w:t xml:space="preserve"> </w:t>
      </w:r>
      <w:r>
        <w:rPr>
          <w:i/>
          <w:iCs/>
        </w:rPr>
        <w:t xml:space="preserve">RNA</w:t>
      </w:r>
      <w:r>
        <w:t xml:space="preserve"> </w:t>
      </w:r>
      <w:r>
        <w:rPr>
          <w:b/>
          <w:bCs/>
        </w:rPr>
        <w:t xml:space="preserve">24</w:t>
      </w:r>
      <w:r>
        <w:t xml:space="preserve">, 98–113 (2018).</w:t>
      </w:r>
    </w:p>
    <w:p>
      <w:pPr>
        <w:pStyle w:val="Compact"/>
        <w:numPr>
          <w:ilvl w:val="0"/>
          <w:numId w:val="1004"/>
        </w:numPr>
      </w:pPr>
      <w:r>
        <w:t xml:space="preserve">Fazal, F. M.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Atlas of subcellular RNA localization revealed by</w:t>
      </w:r>
      <w:r>
        <w:t xml:space="preserve"> </w:t>
      </w:r>
      <w:r>
        <w:t xml:space="preserve">APEX-seq.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rPr>
          <w:b/>
          <w:bCs/>
        </w:rPr>
        <w:t xml:space="preserve">178</w:t>
      </w:r>
      <w:r>
        <w:t xml:space="preserve">, 473–490 (2019).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2026-04-20T06:54:42Z</dcterms:created>
  <dcterms:modified xsi:type="dcterms:W3CDTF">2026-04-20T06:54:42Z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