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A42C6" w14:textId="2AA2ACAA" w:rsidR="00142D0E" w:rsidRPr="00142D0E" w:rsidRDefault="00142D0E" w:rsidP="00142D0E">
      <w:pPr>
        <w:rPr>
          <w:b/>
          <w:bCs/>
        </w:rPr>
      </w:pPr>
      <w:r w:rsidRPr="00142D0E">
        <w:rPr>
          <w:b/>
          <w:bCs/>
        </w:rPr>
        <w:t xml:space="preserve">The text below provides a taxonomy of the topics focusing on </w:t>
      </w:r>
      <w:r>
        <w:rPr>
          <w:b/>
          <w:bCs/>
        </w:rPr>
        <w:t>Bioenergetics (Chinopoulos lectures)</w:t>
      </w:r>
      <w:r w:rsidRPr="00142D0E">
        <w:rPr>
          <w:b/>
          <w:bCs/>
        </w:rPr>
        <w:t xml:space="preserve"> covered by the released MCQ pool. Its purpose is to help you organize the material, see how individual questions fit into broader concepts, and identify the major themes that recur across the question set. It is not a new question bank or a detailed explanatory note, but a structured topic guide to support preparation for the Moodle exam.</w:t>
      </w:r>
    </w:p>
    <w:p w14:paraId="59BFDC95" w14:textId="77777777" w:rsidR="00142D0E" w:rsidRDefault="00142D0E" w:rsidP="00142D0E"/>
    <w:p w14:paraId="73445FD6" w14:textId="41905955" w:rsidR="00142D0E" w:rsidRDefault="00142D0E" w:rsidP="00142D0E">
      <w:r>
        <w:t>1. Core bioenergetics — 265 questions</w:t>
      </w:r>
    </w:p>
    <w:p w14:paraId="211D988B" w14:textId="77777777" w:rsidR="00142D0E" w:rsidRDefault="00142D0E" w:rsidP="00142D0E"/>
    <w:p w14:paraId="0771D375" w14:textId="77777777" w:rsidR="00142D0E" w:rsidRDefault="00142D0E" w:rsidP="00142D0E">
      <w:r>
        <w:t>ATP, free energy, thermodynamics, and ATP basics — 76</w:t>
      </w:r>
    </w:p>
    <w:p w14:paraId="34C9E381" w14:textId="77777777" w:rsidR="00142D0E" w:rsidRDefault="00142D0E" w:rsidP="00142D0E"/>
    <w:p w14:paraId="4029A7F3" w14:textId="77777777" w:rsidR="00142D0E" w:rsidRDefault="00142D0E" w:rsidP="00142D0E">
      <w:r>
        <w:t>High-energy phosphate transfer, phosphagens, adenine-nucleotide interconversion, and substrate-level phosphorylation — 107</w:t>
      </w:r>
    </w:p>
    <w:p w14:paraId="191CF82F" w14:textId="77777777" w:rsidR="00142D0E" w:rsidRDefault="00142D0E" w:rsidP="00142D0E"/>
    <w:p w14:paraId="0769F3ED" w14:textId="77777777" w:rsidR="00142D0E" w:rsidRDefault="00142D0E" w:rsidP="00142D0E">
      <w:r>
        <w:t>Redox chemistry and electron-transfer biochemistry — 82</w:t>
      </w:r>
    </w:p>
    <w:p w14:paraId="06BF7E34" w14:textId="77777777" w:rsidR="00142D0E" w:rsidRDefault="00142D0E" w:rsidP="00142D0E"/>
    <w:p w14:paraId="7B593FB8" w14:textId="77777777" w:rsidR="00142D0E" w:rsidRDefault="00142D0E" w:rsidP="00142D0E">
      <w:r>
        <w:t xml:space="preserve">This block covers ATP hydrolysis and coupling, exergonic vs endergonic reactions, high-energy phosphate compounds, phosphagens, adenylate kinase/AMP logic, glycolytic and citric-acid substrate-level phosphorylation, oxidation-reduction principles, and the core carrier chemistry of NAD/NADP, flavins, Fe-S systems, and cytochromes. </w:t>
      </w:r>
    </w:p>
    <w:p w14:paraId="29EE63D7" w14:textId="77777777" w:rsidR="00142D0E" w:rsidRDefault="00142D0E" w:rsidP="00142D0E"/>
    <w:p w14:paraId="005633EE" w14:textId="77777777" w:rsidR="00142D0E" w:rsidRDefault="00142D0E" w:rsidP="00142D0E"/>
    <w:p w14:paraId="0612E3E4" w14:textId="77777777" w:rsidR="00142D0E" w:rsidRDefault="00142D0E" w:rsidP="00142D0E">
      <w:r>
        <w:t>2. Mitochondrial organization and the respiratory chain — 218 questions</w:t>
      </w:r>
    </w:p>
    <w:p w14:paraId="1DBD5EAC" w14:textId="77777777" w:rsidR="00142D0E" w:rsidRDefault="00142D0E" w:rsidP="00142D0E"/>
    <w:p w14:paraId="04E5C138" w14:textId="77777777" w:rsidR="00142D0E" w:rsidRDefault="00142D0E" w:rsidP="00142D0E">
      <w:r>
        <w:t>Mitochondrial structure, membrane properties, and compartmentation — 66</w:t>
      </w:r>
    </w:p>
    <w:p w14:paraId="7D322EA2" w14:textId="77777777" w:rsidR="00142D0E" w:rsidRDefault="00142D0E" w:rsidP="00142D0E"/>
    <w:p w14:paraId="093408A2" w14:textId="77777777" w:rsidR="00142D0E" w:rsidRDefault="00142D0E" w:rsidP="00142D0E">
      <w:r>
        <w:t>Respiratory chain complexes, mobile carriers, and electron flow — 152</w:t>
      </w:r>
    </w:p>
    <w:p w14:paraId="2C3BEFD1" w14:textId="77777777" w:rsidR="00142D0E" w:rsidRDefault="00142D0E" w:rsidP="00142D0E"/>
    <w:p w14:paraId="126BEAE9" w14:textId="77777777" w:rsidR="00142D0E" w:rsidRDefault="00142D0E" w:rsidP="00142D0E">
      <w:r>
        <w:t xml:space="preserve">This section includes outer vs inner membrane, matrix and intermembrane space, cristae, cardiolipin, mitochondrial DNA/localization questions, and then the core ETC logic: Complexes I-IV, coenzyme Q, cytochrome c, Q cycle, electron entry from NADH vs succinate, and proton-pumping sites. </w:t>
      </w:r>
    </w:p>
    <w:p w14:paraId="511FB925" w14:textId="77777777" w:rsidR="00142D0E" w:rsidRDefault="00142D0E" w:rsidP="00142D0E"/>
    <w:p w14:paraId="341497EE" w14:textId="77777777" w:rsidR="00142D0E" w:rsidRDefault="00142D0E" w:rsidP="00142D0E">
      <w:r>
        <w:t>3. Oxidative phosphorylation: mechanism, control, and pathology — 257 questions</w:t>
      </w:r>
    </w:p>
    <w:p w14:paraId="1515538A" w14:textId="77777777" w:rsidR="00142D0E" w:rsidRDefault="00142D0E" w:rsidP="00142D0E"/>
    <w:p w14:paraId="6E3292F2" w14:textId="77777777" w:rsidR="00142D0E" w:rsidRDefault="00142D0E" w:rsidP="00142D0E">
      <w:r>
        <w:t>Chemiosmosis, proton motive force, ATP synthase, and ATP yield — 105</w:t>
      </w:r>
    </w:p>
    <w:p w14:paraId="253C4880" w14:textId="77777777" w:rsidR="00142D0E" w:rsidRDefault="00142D0E" w:rsidP="00142D0E"/>
    <w:p w14:paraId="14B61046" w14:textId="77777777" w:rsidR="00142D0E" w:rsidRDefault="00142D0E" w:rsidP="00142D0E">
      <w:r>
        <w:lastRenderedPageBreak/>
        <w:t>Respiratory control and ADP-linked coupling — 39</w:t>
      </w:r>
    </w:p>
    <w:p w14:paraId="279B02A1" w14:textId="77777777" w:rsidR="00142D0E" w:rsidRDefault="00142D0E" w:rsidP="00142D0E"/>
    <w:p w14:paraId="00C0B2FC" w14:textId="77777777" w:rsidR="00142D0E" w:rsidRDefault="00142D0E" w:rsidP="00142D0E">
      <w:r>
        <w:t>Uncouplers and physiologic thermogenesis — 45</w:t>
      </w:r>
    </w:p>
    <w:p w14:paraId="7B9F0E83" w14:textId="77777777" w:rsidR="00142D0E" w:rsidRDefault="00142D0E" w:rsidP="00142D0E"/>
    <w:p w14:paraId="1FFCB4CC" w14:textId="77777777" w:rsidR="00142D0E" w:rsidRDefault="00142D0E" w:rsidP="00142D0E">
      <w:r>
        <w:t>Inhibitors, poisons, and mitochondrial disease — 68</w:t>
      </w:r>
    </w:p>
    <w:p w14:paraId="3CB0C935" w14:textId="77777777" w:rsidR="00142D0E" w:rsidRDefault="00142D0E" w:rsidP="00142D0E"/>
    <w:p w14:paraId="6523BA96" w14:textId="3E972E5D" w:rsidR="00142D0E" w:rsidRDefault="00142D0E" w:rsidP="00142D0E">
      <w:r>
        <w:t xml:space="preserve">This </w:t>
      </w:r>
      <w:r>
        <w:t>section</w:t>
      </w:r>
      <w:r>
        <w:t xml:space="preserve"> covers chemiosmotic theory, ATP synthase structure and rotation, P:O ratios, state 1/3/4/5 logic, ADP control of respiration, uncouplers and </w:t>
      </w:r>
      <w:proofErr w:type="spellStart"/>
      <w:r>
        <w:t>thermogenin</w:t>
      </w:r>
      <w:proofErr w:type="spellEnd"/>
      <w:r>
        <w:t xml:space="preserve">, plus classic inhibitors/poisons such as oligomycin, </w:t>
      </w:r>
      <w:proofErr w:type="spellStart"/>
      <w:r>
        <w:t>atractyloside</w:t>
      </w:r>
      <w:proofErr w:type="spellEnd"/>
      <w:r>
        <w:t xml:space="preserve">, malonate, antimycin, amobarbital, cyanide/CO/H₂S, and clinical mitochondrial disease patterns. </w:t>
      </w:r>
    </w:p>
    <w:p w14:paraId="26B9FF82" w14:textId="77777777" w:rsidR="00142D0E" w:rsidRDefault="00142D0E" w:rsidP="00142D0E"/>
    <w:p w14:paraId="510383AD" w14:textId="77777777" w:rsidR="00142D0E" w:rsidRDefault="00142D0E" w:rsidP="00142D0E"/>
    <w:p w14:paraId="0EDF56CC" w14:textId="77777777" w:rsidR="00142D0E" w:rsidRDefault="00142D0E" w:rsidP="00142D0E">
      <w:r>
        <w:t>4. Mitochondrial transport and energy-transfer shuttles — 123 questions</w:t>
      </w:r>
    </w:p>
    <w:p w14:paraId="29118682" w14:textId="77777777" w:rsidR="00142D0E" w:rsidRDefault="00142D0E" w:rsidP="00142D0E"/>
    <w:p w14:paraId="2061FE1F" w14:textId="77777777" w:rsidR="00142D0E" w:rsidRDefault="00142D0E" w:rsidP="00142D0E">
      <w:r>
        <w:t>Inner-membrane transporters and ion handling — 55</w:t>
      </w:r>
    </w:p>
    <w:p w14:paraId="6A5EBD62" w14:textId="77777777" w:rsidR="00142D0E" w:rsidRDefault="00142D0E" w:rsidP="00142D0E"/>
    <w:p w14:paraId="4F943570" w14:textId="77777777" w:rsidR="00142D0E" w:rsidRDefault="00142D0E" w:rsidP="00142D0E">
      <w:r>
        <w:t>Cytosolic NADH shuttles (glycerol-3-phosphate and malate-aspartate) — 45</w:t>
      </w:r>
    </w:p>
    <w:p w14:paraId="03D2E58E" w14:textId="77777777" w:rsidR="00142D0E" w:rsidRDefault="00142D0E" w:rsidP="00142D0E"/>
    <w:p w14:paraId="4CBD2039" w14:textId="77777777" w:rsidR="00142D0E" w:rsidRDefault="00142D0E" w:rsidP="00142D0E">
      <w:r>
        <w:t>Creatine phosphate shuttle — 23</w:t>
      </w:r>
    </w:p>
    <w:p w14:paraId="0E8A07EC" w14:textId="77777777" w:rsidR="00142D0E" w:rsidRDefault="00142D0E" w:rsidP="00142D0E"/>
    <w:p w14:paraId="381F47DD" w14:textId="605E9AB6" w:rsidR="00D23090" w:rsidRDefault="00142D0E" w:rsidP="00142D0E">
      <w:r>
        <w:t>This section groups the transport and shuttle questions: adenine nucleotide translocase, phosphate carrier, pyruvate carrier, dicarboxylate/tricarboxylate and related exchange systems, calcium handling, glycerol-3-phosphate shuttle, malate-aspartate shuttle, and the creatine phosphate shuttle linking mitochondrial ATP production to cytosolic energy demand.</w:t>
      </w:r>
    </w:p>
    <w:sectPr w:rsidR="00D2309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42D0E"/>
    <w:rsid w:val="00142D0E"/>
    <w:rsid w:val="004E6031"/>
    <w:rsid w:val="00794C60"/>
    <w:rsid w:val="0095061F"/>
    <w:rsid w:val="00D23090"/>
    <w:rsid w:val="00EC7C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BD0E7"/>
  <w15:chartTrackingRefBased/>
  <w15:docId w15:val="{4990C0F2-B8FC-44D8-ACF3-CBDF543BF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142D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42D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42D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42D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42D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42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D0E"/>
    <w:rPr>
      <w:rFonts w:asciiTheme="majorHAnsi" w:eastAsiaTheme="majorEastAsia" w:hAnsiTheme="majorHAnsi" w:cstheme="majorBidi"/>
      <w:color w:val="2E74B5" w:themeColor="accent1" w:themeShade="BF"/>
      <w:sz w:val="40"/>
      <w:szCs w:val="40"/>
      <w:lang w:val="en-US"/>
    </w:rPr>
  </w:style>
  <w:style w:type="character" w:customStyle="1" w:styleId="Heading2Char">
    <w:name w:val="Heading 2 Char"/>
    <w:basedOn w:val="DefaultParagraphFont"/>
    <w:link w:val="Heading2"/>
    <w:uiPriority w:val="9"/>
    <w:semiHidden/>
    <w:rsid w:val="00142D0E"/>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142D0E"/>
    <w:rPr>
      <w:rFonts w:eastAsiaTheme="majorEastAsia" w:cstheme="majorBidi"/>
      <w:color w:val="2E74B5" w:themeColor="accent1" w:themeShade="BF"/>
      <w:sz w:val="28"/>
      <w:szCs w:val="28"/>
      <w:lang w:val="en-US"/>
    </w:rPr>
  </w:style>
  <w:style w:type="character" w:customStyle="1" w:styleId="Heading4Char">
    <w:name w:val="Heading 4 Char"/>
    <w:basedOn w:val="DefaultParagraphFont"/>
    <w:link w:val="Heading4"/>
    <w:uiPriority w:val="9"/>
    <w:semiHidden/>
    <w:rsid w:val="00142D0E"/>
    <w:rPr>
      <w:rFonts w:eastAsiaTheme="majorEastAsia" w:cstheme="majorBidi"/>
      <w:i/>
      <w:iCs/>
      <w:color w:val="2E74B5" w:themeColor="accent1" w:themeShade="BF"/>
      <w:lang w:val="en-US"/>
    </w:rPr>
  </w:style>
  <w:style w:type="character" w:customStyle="1" w:styleId="Heading5Char">
    <w:name w:val="Heading 5 Char"/>
    <w:basedOn w:val="DefaultParagraphFont"/>
    <w:link w:val="Heading5"/>
    <w:uiPriority w:val="9"/>
    <w:semiHidden/>
    <w:rsid w:val="00142D0E"/>
    <w:rPr>
      <w:rFonts w:eastAsiaTheme="majorEastAsia" w:cstheme="majorBidi"/>
      <w:color w:val="2E74B5" w:themeColor="accent1" w:themeShade="BF"/>
      <w:lang w:val="en-US"/>
    </w:rPr>
  </w:style>
  <w:style w:type="character" w:customStyle="1" w:styleId="Heading6Char">
    <w:name w:val="Heading 6 Char"/>
    <w:basedOn w:val="DefaultParagraphFont"/>
    <w:link w:val="Heading6"/>
    <w:uiPriority w:val="9"/>
    <w:semiHidden/>
    <w:rsid w:val="00142D0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142D0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142D0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142D0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142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D0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142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D0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142D0E"/>
    <w:pPr>
      <w:spacing w:before="160"/>
      <w:jc w:val="center"/>
    </w:pPr>
    <w:rPr>
      <w:i/>
      <w:iCs/>
      <w:color w:val="404040" w:themeColor="text1" w:themeTint="BF"/>
    </w:rPr>
  </w:style>
  <w:style w:type="character" w:customStyle="1" w:styleId="QuoteChar">
    <w:name w:val="Quote Char"/>
    <w:basedOn w:val="DefaultParagraphFont"/>
    <w:link w:val="Quote"/>
    <w:uiPriority w:val="29"/>
    <w:rsid w:val="00142D0E"/>
    <w:rPr>
      <w:i/>
      <w:iCs/>
      <w:color w:val="404040" w:themeColor="text1" w:themeTint="BF"/>
      <w:lang w:val="en-US"/>
    </w:rPr>
  </w:style>
  <w:style w:type="paragraph" w:styleId="ListParagraph">
    <w:name w:val="List Paragraph"/>
    <w:basedOn w:val="Normal"/>
    <w:uiPriority w:val="34"/>
    <w:qFormat/>
    <w:rsid w:val="00142D0E"/>
    <w:pPr>
      <w:ind w:left="720"/>
      <w:contextualSpacing/>
    </w:pPr>
  </w:style>
  <w:style w:type="character" w:styleId="IntenseEmphasis">
    <w:name w:val="Intense Emphasis"/>
    <w:basedOn w:val="DefaultParagraphFont"/>
    <w:uiPriority w:val="21"/>
    <w:qFormat/>
    <w:rsid w:val="00142D0E"/>
    <w:rPr>
      <w:i/>
      <w:iCs/>
      <w:color w:val="2E74B5" w:themeColor="accent1" w:themeShade="BF"/>
    </w:rPr>
  </w:style>
  <w:style w:type="paragraph" w:styleId="IntenseQuote">
    <w:name w:val="Intense Quote"/>
    <w:basedOn w:val="Normal"/>
    <w:next w:val="Normal"/>
    <w:link w:val="IntenseQuoteChar"/>
    <w:uiPriority w:val="30"/>
    <w:qFormat/>
    <w:rsid w:val="00142D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42D0E"/>
    <w:rPr>
      <w:i/>
      <w:iCs/>
      <w:color w:val="2E74B5" w:themeColor="accent1" w:themeShade="BF"/>
      <w:lang w:val="en-US"/>
    </w:rPr>
  </w:style>
  <w:style w:type="character" w:styleId="IntenseReference">
    <w:name w:val="Intense Reference"/>
    <w:basedOn w:val="DefaultParagraphFont"/>
    <w:uiPriority w:val="32"/>
    <w:qFormat/>
    <w:rsid w:val="00142D0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414</Words>
  <Characters>2366</Characters>
  <Application>Microsoft Office Word</Application>
  <DocSecurity>0</DocSecurity>
  <Lines>19</Lines>
  <Paragraphs>5</Paragraphs>
  <ScaleCrop>false</ScaleCrop>
  <Company/>
  <LinksUpToDate>false</LinksUpToDate>
  <CharactersWithSpaces>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Christos Chinopoulos (egyetemi docens)</dc:creator>
  <cp:keywords/>
  <dc:description/>
  <cp:lastModifiedBy>Dr. Christos Chinopoulos (egyetemi docens)</cp:lastModifiedBy>
  <cp:revision>1</cp:revision>
  <dcterms:created xsi:type="dcterms:W3CDTF">2026-03-06T16:23:00Z</dcterms:created>
  <dcterms:modified xsi:type="dcterms:W3CDTF">2026-03-06T16:27:00Z</dcterms:modified>
</cp:coreProperties>
</file>