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4403" w14:textId="6C9C105D" w:rsidR="000D6050" w:rsidRPr="000D6050" w:rsidRDefault="000D6050" w:rsidP="000D6050">
      <w:pPr>
        <w:rPr>
          <w:b/>
          <w:bCs/>
        </w:rPr>
      </w:pPr>
      <w:r w:rsidRPr="000D6050">
        <w:rPr>
          <w:b/>
          <w:bCs/>
        </w:rPr>
        <w:t>The text below provides a taxonomy of the topics focusing on Bioenergetics (Tretter lectures) covered by the released MCQ pool. Its purpose is to help you organize the material, see how individual questions fit into broader concepts, and identify the major themes that recur across the question set. It is not a new question bank or a detailed explanatory note, but a structured topic guide to support preparation for the Moodle exam.</w:t>
      </w:r>
    </w:p>
    <w:p w14:paraId="7CB8134C" w14:textId="77777777" w:rsidR="000D6050" w:rsidRDefault="000D6050" w:rsidP="000D6050"/>
    <w:p w14:paraId="4FC7BD53" w14:textId="77777777" w:rsidR="000B08CD" w:rsidRDefault="000B08CD" w:rsidP="000B08CD">
      <w:r>
        <w:t>Fundamental bioenergetics and ATP/free-energy logic — 40 questions</w:t>
      </w:r>
    </w:p>
    <w:p w14:paraId="3CB6ECB3" w14:textId="77777777" w:rsidR="000B08CD" w:rsidRDefault="000B08CD" w:rsidP="000B08CD"/>
    <w:p w14:paraId="50A356CF" w14:textId="77777777" w:rsidR="000B08CD" w:rsidRDefault="000B08CD" w:rsidP="000B08CD">
      <w:r>
        <w:t>Bioenergetic overview, terminal oxidation, and coupled reactions — 12</w:t>
      </w:r>
    </w:p>
    <w:p w14:paraId="25461D7D" w14:textId="77777777" w:rsidR="000B08CD" w:rsidRDefault="000B08CD" w:rsidP="000B08CD"/>
    <w:p w14:paraId="0DE61988" w14:textId="77777777" w:rsidR="000B08CD" w:rsidRDefault="000B08CD" w:rsidP="000B08CD">
      <w:r>
        <w:t>ATP hydrolysis, Mg-ATP, ATP → AMP + PPi, and ATP as the cell’s energy currency — 28</w:t>
      </w:r>
    </w:p>
    <w:p w14:paraId="4F6E3712" w14:textId="77777777" w:rsidR="000B08CD" w:rsidRDefault="000B08CD" w:rsidP="000B08CD"/>
    <w:p w14:paraId="52437E03" w14:textId="77777777" w:rsidR="000B08CD" w:rsidRDefault="000B08CD" w:rsidP="000B08CD">
      <w:r>
        <w:t>High-energy compounds, adenylate buffering, and substrate-level phosphorylation — 75 questions</w:t>
      </w:r>
    </w:p>
    <w:p w14:paraId="02461614" w14:textId="77777777" w:rsidR="000B08CD" w:rsidRDefault="000B08CD" w:rsidP="000B08CD"/>
    <w:p w14:paraId="55C9C0B3" w14:textId="77777777" w:rsidR="000B08CD" w:rsidRDefault="000B08CD" w:rsidP="000B08CD">
      <w:r>
        <w:t xml:space="preserve">High group-transfer compounds and bond types: </w:t>
      </w:r>
      <w:proofErr w:type="spellStart"/>
      <w:r>
        <w:t>phosphoanhydrides</w:t>
      </w:r>
      <w:proofErr w:type="spellEnd"/>
      <w:r>
        <w:t xml:space="preserve">, PEP, 1,3-BPG, thioesters, </w:t>
      </w:r>
      <w:proofErr w:type="spellStart"/>
      <w:r>
        <w:t>phosphoguanidines</w:t>
      </w:r>
      <w:proofErr w:type="spellEnd"/>
      <w:r>
        <w:t>, aminoacyl-tRNA, and acyl-carnitine — 34</w:t>
      </w:r>
    </w:p>
    <w:p w14:paraId="37F27F27" w14:textId="77777777" w:rsidR="000B08CD" w:rsidRDefault="000B08CD" w:rsidP="000B08CD"/>
    <w:p w14:paraId="6D04C9C4" w14:textId="77777777" w:rsidR="000B08CD" w:rsidRDefault="000B08CD" w:rsidP="000B08CD">
      <w:r>
        <w:t>Adenylate kinase, AMP generation, creatine phosphate, and immediate ATP buffering in muscle and brain — 20</w:t>
      </w:r>
    </w:p>
    <w:p w14:paraId="6BBD52CC" w14:textId="77777777" w:rsidR="000B08CD" w:rsidRDefault="000B08CD" w:rsidP="000B08CD"/>
    <w:p w14:paraId="591E39D8" w14:textId="77777777" w:rsidR="000B08CD" w:rsidRDefault="000B08CD" w:rsidP="000B08CD">
      <w:r>
        <w:t>Substrate-level phosphorylation in glycolysis and the citric acid cycle — 21</w:t>
      </w:r>
    </w:p>
    <w:p w14:paraId="779DF64C" w14:textId="77777777" w:rsidR="000B08CD" w:rsidRDefault="000B08CD" w:rsidP="000B08CD"/>
    <w:p w14:paraId="01FEB1DB" w14:textId="77777777" w:rsidR="000B08CD" w:rsidRDefault="000B08CD" w:rsidP="000B08CD">
      <w:r>
        <w:t>Redox coenzymes, flavin chemistry, and oxidative stress — 54 questions</w:t>
      </w:r>
    </w:p>
    <w:p w14:paraId="22F9D5EF" w14:textId="77777777" w:rsidR="000B08CD" w:rsidRDefault="000B08CD" w:rsidP="000B08CD"/>
    <w:p w14:paraId="6590EE38" w14:textId="77777777" w:rsidR="000B08CD" w:rsidRDefault="000B08CD" w:rsidP="000B08CD">
      <w:r>
        <w:t>NAD/NADP pools, catabolic vs anabolic roles, and spectrophotometric detection — 18</w:t>
      </w:r>
    </w:p>
    <w:p w14:paraId="040FB443" w14:textId="77777777" w:rsidR="000B08CD" w:rsidRDefault="000B08CD" w:rsidP="000B08CD"/>
    <w:p w14:paraId="6983209D" w14:textId="77777777" w:rsidR="000B08CD" w:rsidRDefault="000B08CD" w:rsidP="000B08CD">
      <w:r>
        <w:t>FMN/FAD chemistry, tightly bound prosthetic groups, and semiquinone intermediates — 21</w:t>
      </w:r>
    </w:p>
    <w:p w14:paraId="668722AA" w14:textId="77777777" w:rsidR="000B08CD" w:rsidRDefault="000B08CD" w:rsidP="000B08CD"/>
    <w:p w14:paraId="6949C8B8" w14:textId="77777777" w:rsidR="000B08CD" w:rsidRDefault="000B08CD" w:rsidP="000B08CD">
      <w:r>
        <w:t>Reactive oxygen species and oxidative stress — 15</w:t>
      </w:r>
    </w:p>
    <w:p w14:paraId="4EA62970" w14:textId="77777777" w:rsidR="000B08CD" w:rsidRDefault="000B08CD" w:rsidP="000B08CD"/>
    <w:p w14:paraId="57908B6C" w14:textId="77777777" w:rsidR="000B08CD" w:rsidRDefault="000B08CD" w:rsidP="000B08CD">
      <w:r>
        <w:t>Pyruvate dehydrogenase complex and metabolic switching — 51 questions</w:t>
      </w:r>
    </w:p>
    <w:p w14:paraId="5F4190FD" w14:textId="77777777" w:rsidR="000B08CD" w:rsidRDefault="000B08CD" w:rsidP="000B08CD"/>
    <w:p w14:paraId="7164232F" w14:textId="77777777" w:rsidR="000B08CD" w:rsidRDefault="000B08CD" w:rsidP="000B08CD">
      <w:r>
        <w:t>PDH reaction, multienzyme architecture, coenzymes, lipoamide chemistry, vitamin dependence, and substrate channeling — 23</w:t>
      </w:r>
    </w:p>
    <w:p w14:paraId="29A6A3C8" w14:textId="77777777" w:rsidR="000B08CD" w:rsidRDefault="000B08CD" w:rsidP="000B08CD"/>
    <w:p w14:paraId="78E60419" w14:textId="77777777" w:rsidR="000B08CD" w:rsidRDefault="000B08CD" w:rsidP="000B08CD">
      <w:r>
        <w:t>PDH regulation by PDK/PDP, calcium, fasting, insulin/Akt, and switching between carbohydrate oxidation and gluconeogenic/fat-oxidation states — 28</w:t>
      </w:r>
    </w:p>
    <w:p w14:paraId="2B38281F" w14:textId="77777777" w:rsidR="000B08CD" w:rsidRDefault="000B08CD" w:rsidP="000B08CD"/>
    <w:p w14:paraId="2467FC9D" w14:textId="77777777" w:rsidR="000B08CD" w:rsidRDefault="000B08CD" w:rsidP="000B08CD">
      <w:r>
        <w:t>Citric acid cycle core reactions, regulation, and output — 76 questions</w:t>
      </w:r>
    </w:p>
    <w:p w14:paraId="4452D439" w14:textId="77777777" w:rsidR="000B08CD" w:rsidRDefault="000B08CD" w:rsidP="000B08CD"/>
    <w:p w14:paraId="38A46999" w14:textId="77777777" w:rsidR="000B08CD" w:rsidRDefault="000B08CD" w:rsidP="000B08CD">
      <w:r>
        <w:t>Citrate synthase and aconitase — 12</w:t>
      </w:r>
    </w:p>
    <w:p w14:paraId="1673D2B9" w14:textId="77777777" w:rsidR="000B08CD" w:rsidRDefault="000B08CD" w:rsidP="000B08CD"/>
    <w:p w14:paraId="7467C943" w14:textId="77777777" w:rsidR="000B08CD" w:rsidRDefault="000B08CD" w:rsidP="000B08CD">
      <w:r>
        <w:t>Isocitrate dehydrogenase and α-ketoglutarate dehydrogenase: oxidative decarboxylation and control by ADP, ATP, NADH, and Ca²⁺ — 24</w:t>
      </w:r>
    </w:p>
    <w:p w14:paraId="4CA1092C" w14:textId="77777777" w:rsidR="000B08CD" w:rsidRDefault="000B08CD" w:rsidP="000B08CD"/>
    <w:p w14:paraId="58E9C44F" w14:textId="77777777" w:rsidR="000B08CD" w:rsidRDefault="000B08CD" w:rsidP="000B08CD">
      <w:r>
        <w:t>Succinyl-CoA synthetase, succinate dehydrogenase, fumarase, malate dehydrogenase, cycle yield, and linkage to the respiratory chain — 40</w:t>
      </w:r>
    </w:p>
    <w:p w14:paraId="1B1CF70C" w14:textId="77777777" w:rsidR="000B08CD" w:rsidRDefault="000B08CD" w:rsidP="000B08CD"/>
    <w:p w14:paraId="413E53DD" w14:textId="77777777" w:rsidR="000B08CD" w:rsidRDefault="000B08CD" w:rsidP="000B08CD">
      <w:r>
        <w:t>Anaplerosis and biosynthetic/compartmental links of the citric acid cycle — 22 questions</w:t>
      </w:r>
    </w:p>
    <w:p w14:paraId="0F240A39" w14:textId="77777777" w:rsidR="000B08CD" w:rsidRDefault="000B08CD" w:rsidP="000B08CD"/>
    <w:p w14:paraId="74A8E460" w14:textId="77777777" w:rsidR="000B08CD" w:rsidRDefault="000B08CD" w:rsidP="000B08CD">
      <w:r>
        <w:t>Anaplerosis and pyruvate carboxylase — 13</w:t>
      </w:r>
    </w:p>
    <w:p w14:paraId="0E4E3582" w14:textId="77777777" w:rsidR="000B08CD" w:rsidRDefault="000B08CD" w:rsidP="000B08CD"/>
    <w:p w14:paraId="69676ECD" w14:textId="77777777" w:rsidR="000B08CD" w:rsidRDefault="000B08CD" w:rsidP="000B08CD">
      <w:r>
        <w:t>Withdrawal of intermediates for amino acid, heme, fatty acid, and cholesterol synthesis, plus citrate export and cytosolic NADPH generation — 9</w:t>
      </w:r>
    </w:p>
    <w:p w14:paraId="40129F9D" w14:textId="77777777" w:rsidR="000B08CD" w:rsidRDefault="000B08CD" w:rsidP="000B08CD"/>
    <w:p w14:paraId="25822E84" w14:textId="77777777" w:rsidR="000B08CD" w:rsidRDefault="000B08CD" w:rsidP="000B08CD">
      <w:r>
        <w:t>Noncanonical citric acid-cycle biology: iron regulation, signaling, and oncometabolites — 30 questions</w:t>
      </w:r>
    </w:p>
    <w:p w14:paraId="0E3F47B0" w14:textId="77777777" w:rsidR="000B08CD" w:rsidRDefault="000B08CD" w:rsidP="000B08CD"/>
    <w:p w14:paraId="2CADD439" w14:textId="77777777" w:rsidR="000B08CD" w:rsidRDefault="000B08CD" w:rsidP="000B08CD">
      <w:r>
        <w:t>Cytosolic aconitase/IRP1 and iron-responsive regulation of ferritin/transferrin-receptor expression — 8</w:t>
      </w:r>
    </w:p>
    <w:p w14:paraId="23B36BC5" w14:textId="77777777" w:rsidR="000B08CD" w:rsidRDefault="000B08CD" w:rsidP="000B08CD"/>
    <w:p w14:paraId="353A2EF9" w14:textId="77777777" w:rsidR="000B08CD" w:rsidRDefault="000B08CD" w:rsidP="000B08CD">
      <w:r>
        <w:t>Succinate/fumarate/IDH-related oncometabolites, HIF stabilization, and pseudohypoxia — 11</w:t>
      </w:r>
    </w:p>
    <w:p w14:paraId="1428C819" w14:textId="77777777" w:rsidR="000B08CD" w:rsidRDefault="000B08CD" w:rsidP="000B08CD"/>
    <w:p w14:paraId="5443D9A3" w14:textId="7B911F0D" w:rsidR="000B08CD" w:rsidRDefault="000B08CD" w:rsidP="000B08CD">
      <w:r>
        <w:t>Succinate receptor signaling, cytosolic fumarase in DNA-damage responses, and moonlighting extramitochondrial TCA enzymes — 11</w:t>
      </w:r>
    </w:p>
    <w:sectPr w:rsidR="000B08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6050"/>
    <w:rsid w:val="00034F79"/>
    <w:rsid w:val="000B08CD"/>
    <w:rsid w:val="000D6050"/>
    <w:rsid w:val="002170A0"/>
    <w:rsid w:val="00433A13"/>
    <w:rsid w:val="004E6031"/>
    <w:rsid w:val="00794C60"/>
    <w:rsid w:val="0095061F"/>
    <w:rsid w:val="00D23090"/>
    <w:rsid w:val="00E35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298D"/>
  <w15:chartTrackingRefBased/>
  <w15:docId w15:val="{313E02E6-29F9-444D-A2A5-FC4D03A0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D605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D605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D605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D605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D605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6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50"/>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0D6050"/>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0D6050"/>
    <w:rPr>
      <w:rFonts w:eastAsiaTheme="majorEastAsia"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0D6050"/>
    <w:rPr>
      <w:rFonts w:eastAsiaTheme="majorEastAsia"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0D6050"/>
    <w:rPr>
      <w:rFonts w:eastAsiaTheme="majorEastAsia" w:cstheme="majorBidi"/>
      <w:color w:val="2E74B5" w:themeColor="accent1" w:themeShade="BF"/>
      <w:lang w:val="en-US"/>
    </w:rPr>
  </w:style>
  <w:style w:type="character" w:customStyle="1" w:styleId="Heading6Char">
    <w:name w:val="Heading 6 Char"/>
    <w:basedOn w:val="DefaultParagraphFont"/>
    <w:link w:val="Heading6"/>
    <w:uiPriority w:val="9"/>
    <w:semiHidden/>
    <w:rsid w:val="000D605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D605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D605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D605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D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5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D6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5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D6050"/>
    <w:pPr>
      <w:spacing w:before="160"/>
      <w:jc w:val="center"/>
    </w:pPr>
    <w:rPr>
      <w:i/>
      <w:iCs/>
      <w:color w:val="404040" w:themeColor="text1" w:themeTint="BF"/>
    </w:rPr>
  </w:style>
  <w:style w:type="character" w:customStyle="1" w:styleId="QuoteChar">
    <w:name w:val="Quote Char"/>
    <w:basedOn w:val="DefaultParagraphFont"/>
    <w:link w:val="Quote"/>
    <w:uiPriority w:val="29"/>
    <w:rsid w:val="000D6050"/>
    <w:rPr>
      <w:i/>
      <w:iCs/>
      <w:color w:val="404040" w:themeColor="text1" w:themeTint="BF"/>
      <w:lang w:val="en-US"/>
    </w:rPr>
  </w:style>
  <w:style w:type="paragraph" w:styleId="ListParagraph">
    <w:name w:val="List Paragraph"/>
    <w:basedOn w:val="Normal"/>
    <w:uiPriority w:val="34"/>
    <w:qFormat/>
    <w:rsid w:val="000D6050"/>
    <w:pPr>
      <w:ind w:left="720"/>
      <w:contextualSpacing/>
    </w:pPr>
  </w:style>
  <w:style w:type="character" w:styleId="IntenseEmphasis">
    <w:name w:val="Intense Emphasis"/>
    <w:basedOn w:val="DefaultParagraphFont"/>
    <w:uiPriority w:val="21"/>
    <w:qFormat/>
    <w:rsid w:val="000D6050"/>
    <w:rPr>
      <w:i/>
      <w:iCs/>
      <w:color w:val="2E74B5" w:themeColor="accent1" w:themeShade="BF"/>
    </w:rPr>
  </w:style>
  <w:style w:type="paragraph" w:styleId="IntenseQuote">
    <w:name w:val="Intense Quote"/>
    <w:basedOn w:val="Normal"/>
    <w:next w:val="Normal"/>
    <w:link w:val="IntenseQuoteChar"/>
    <w:uiPriority w:val="30"/>
    <w:qFormat/>
    <w:rsid w:val="000D60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6050"/>
    <w:rPr>
      <w:i/>
      <w:iCs/>
      <w:color w:val="2E74B5" w:themeColor="accent1" w:themeShade="BF"/>
      <w:lang w:val="en-US"/>
    </w:rPr>
  </w:style>
  <w:style w:type="character" w:styleId="IntenseReference">
    <w:name w:val="Intense Reference"/>
    <w:basedOn w:val="DefaultParagraphFont"/>
    <w:uiPriority w:val="32"/>
    <w:qFormat/>
    <w:rsid w:val="000D60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Christos Chinopoulos (egyetemi docens)</dc:creator>
  <cp:keywords/>
  <dc:description/>
  <cp:lastModifiedBy>Dr. Christos Chinopoulos (egyetemi docens)</cp:lastModifiedBy>
  <cp:revision>3</cp:revision>
  <dcterms:created xsi:type="dcterms:W3CDTF">2026-03-10T07:40:00Z</dcterms:created>
  <dcterms:modified xsi:type="dcterms:W3CDTF">2026-03-10T16:20:00Z</dcterms:modified>
</cp:coreProperties>
</file>