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451B" w14:textId="42CA12FD" w:rsidR="00B35998" w:rsidRPr="00B35998" w:rsidRDefault="00B35998" w:rsidP="00B35998">
      <w:pPr>
        <w:rPr>
          <w:b/>
          <w:bCs/>
        </w:rPr>
      </w:pPr>
      <w:r w:rsidRPr="00B35998">
        <w:rPr>
          <w:b/>
          <w:bCs/>
        </w:rPr>
        <w:t xml:space="preserve">The text below provides a taxonomy of the topics focusing on </w:t>
      </w:r>
      <w:r w:rsidRPr="00B35998">
        <w:rPr>
          <w:b/>
          <w:bCs/>
        </w:rPr>
        <w:t>Carbohydrates</w:t>
      </w:r>
      <w:r w:rsidRPr="00B35998">
        <w:rPr>
          <w:b/>
          <w:bCs/>
        </w:rPr>
        <w:t xml:space="preserve"> covered by the released MCQ pool. Its purpose is to help you organize the material, see how individual questions fit into broader concepts, and identify the major themes that recur across the question set. It is not a new question bank or a detailed explanatory note, but a structured topic guide to support preparation for the Moodle exam.</w:t>
      </w:r>
    </w:p>
    <w:p w14:paraId="423898C5" w14:textId="77777777" w:rsidR="00B35998" w:rsidRDefault="00B35998" w:rsidP="00B35998"/>
    <w:p w14:paraId="34592226" w14:textId="4D4DF18D" w:rsidR="00B35998" w:rsidRDefault="00B35998" w:rsidP="00B35998">
      <w:r>
        <w:t>Carbohydrate chemistry, digestion, absorption, and transport — 101 questions</w:t>
      </w:r>
    </w:p>
    <w:p w14:paraId="5A7FDCA7" w14:textId="77777777" w:rsidR="00B35998" w:rsidRDefault="00B35998" w:rsidP="00B35998"/>
    <w:p w14:paraId="7640CC21" w14:textId="77777777" w:rsidR="00B35998" w:rsidRDefault="00B35998" w:rsidP="00B35998">
      <w:r>
        <w:t>Carbohydrate classes, structures, and physiologic roles — 14</w:t>
      </w:r>
    </w:p>
    <w:p w14:paraId="2EE4098C" w14:textId="77777777" w:rsidR="00B35998" w:rsidRDefault="00B35998" w:rsidP="00B35998"/>
    <w:p w14:paraId="7D4F0790" w14:textId="77777777" w:rsidR="00B35998" w:rsidRDefault="00B35998" w:rsidP="00B35998">
      <w:r>
        <w:t>Digestion, brush-border enzymes, and malabsorption — 28</w:t>
      </w:r>
    </w:p>
    <w:p w14:paraId="5BE218FF" w14:textId="77777777" w:rsidR="00B35998" w:rsidRDefault="00B35998" w:rsidP="00B35998"/>
    <w:p w14:paraId="0BE5C7E1" w14:textId="77777777" w:rsidR="00B35998" w:rsidRDefault="00B35998" w:rsidP="00B35998">
      <w:r>
        <w:t>Intestinal, renal, and tissue hexose transporters — 59</w:t>
      </w:r>
    </w:p>
    <w:p w14:paraId="0931C308" w14:textId="77777777" w:rsidR="00B35998" w:rsidRDefault="00B35998" w:rsidP="00B35998"/>
    <w:p w14:paraId="5513B789" w14:textId="77777777" w:rsidR="00B35998" w:rsidRDefault="00B35998" w:rsidP="00B35998">
      <w:r>
        <w:t>Glycolysis, pyruvate oxidation, lactate, and erythrocyte carbohydrate metabolism — 186 questions</w:t>
      </w:r>
    </w:p>
    <w:p w14:paraId="7074F45C" w14:textId="77777777" w:rsidR="00B35998" w:rsidRDefault="00B35998" w:rsidP="00B35998"/>
    <w:p w14:paraId="51CF5559" w14:textId="77777777" w:rsidR="00B35998" w:rsidRDefault="00B35998" w:rsidP="00B35998">
      <w:r>
        <w:t>Core glycolysis, pathway energetics, and regulation — 78</w:t>
      </w:r>
    </w:p>
    <w:p w14:paraId="1A0A0EC7" w14:textId="77777777" w:rsidR="00B35998" w:rsidRDefault="00B35998" w:rsidP="00B35998"/>
    <w:p w14:paraId="0EE59ACC" w14:textId="77777777" w:rsidR="00B35998" w:rsidRDefault="00B35998" w:rsidP="00B35998">
      <w:r>
        <w:t>Erythrocyte glycolysis, 2,3-BPG, and red-cell energetics — 35</w:t>
      </w:r>
    </w:p>
    <w:p w14:paraId="197047EC" w14:textId="77777777" w:rsidR="00B35998" w:rsidRDefault="00B35998" w:rsidP="00B35998"/>
    <w:p w14:paraId="0383EAFA" w14:textId="77777777" w:rsidR="00B35998" w:rsidRDefault="00B35998" w:rsidP="00B35998">
      <w:r>
        <w:t>Pyruvate dehydrogenase complex and pyruvate oxidation — 42</w:t>
      </w:r>
    </w:p>
    <w:p w14:paraId="76DA1BCF" w14:textId="77777777" w:rsidR="00B35998" w:rsidRDefault="00B35998" w:rsidP="00B35998"/>
    <w:p w14:paraId="2869CDBC" w14:textId="77777777" w:rsidR="00B35998" w:rsidRDefault="00B35998" w:rsidP="00B35998">
      <w:r>
        <w:t>Lactate metabolism, anaerobic glycolysis, and Warburg effect — 31</w:t>
      </w:r>
    </w:p>
    <w:p w14:paraId="7E0670BF" w14:textId="77777777" w:rsidR="00B35998" w:rsidRDefault="00B35998" w:rsidP="00B35998"/>
    <w:p w14:paraId="58204C37" w14:textId="77777777" w:rsidR="00B35998" w:rsidRDefault="00B35998" w:rsidP="00B35998">
      <w:r>
        <w:t>Gluconeogenesis and reciprocal regulation with glycolysis — 116 questions</w:t>
      </w:r>
    </w:p>
    <w:p w14:paraId="6A18CB7F" w14:textId="77777777" w:rsidR="00B35998" w:rsidRDefault="00B35998" w:rsidP="00B35998"/>
    <w:p w14:paraId="5443A818" w14:textId="77777777" w:rsidR="00B35998" w:rsidRDefault="00B35998" w:rsidP="00B35998">
      <w:r>
        <w:t>Gluconeogenic substrates, organs, and interorgan cycles — 30</w:t>
      </w:r>
    </w:p>
    <w:p w14:paraId="42947C35" w14:textId="77777777" w:rsidR="00B35998" w:rsidRDefault="00B35998" w:rsidP="00B35998"/>
    <w:p w14:paraId="556DCEC6" w14:textId="77777777" w:rsidR="00B35998" w:rsidRDefault="00B35998" w:rsidP="00B35998">
      <w:r>
        <w:t>Gluconeogenic bypass enzymes, compartments, and regulation — 44</w:t>
      </w:r>
    </w:p>
    <w:p w14:paraId="70A273BE" w14:textId="77777777" w:rsidR="00B35998" w:rsidRDefault="00B35998" w:rsidP="00B35998"/>
    <w:p w14:paraId="233F3CDB" w14:textId="77777777" w:rsidR="00B35998" w:rsidRDefault="00B35998" w:rsidP="00B35998">
      <w:r>
        <w:t>Reciprocal control of glycolysis and gluconeogenesis — 15</w:t>
      </w:r>
    </w:p>
    <w:p w14:paraId="4C0E68B6" w14:textId="77777777" w:rsidR="00B35998" w:rsidRDefault="00B35998" w:rsidP="00B35998"/>
    <w:p w14:paraId="5FD3EF13" w14:textId="77777777" w:rsidR="00B35998" w:rsidRDefault="00B35998" w:rsidP="00B35998">
      <w:r>
        <w:lastRenderedPageBreak/>
        <w:t>Fasting adaptation and clinical defects of gluconeogenesis — 27</w:t>
      </w:r>
    </w:p>
    <w:p w14:paraId="60878763" w14:textId="77777777" w:rsidR="00B35998" w:rsidRDefault="00B35998" w:rsidP="00B35998"/>
    <w:p w14:paraId="4A61D8DA" w14:textId="77777777" w:rsidR="00B35998" w:rsidRDefault="00B35998" w:rsidP="00B35998">
      <w:r>
        <w:t>Pentose phosphate pathway and NADPH-dependent defense — 63 questions</w:t>
      </w:r>
    </w:p>
    <w:p w14:paraId="26C8EEA6" w14:textId="77777777" w:rsidR="00B35998" w:rsidRDefault="00B35998" w:rsidP="00B35998"/>
    <w:p w14:paraId="05782CC7" w14:textId="77777777" w:rsidR="00B35998" w:rsidRDefault="00B35998" w:rsidP="00B35998">
      <w:r>
        <w:t>Oxidative and nonoxidative pentose phosphate pathway — 30</w:t>
      </w:r>
    </w:p>
    <w:p w14:paraId="6E5A72EE" w14:textId="77777777" w:rsidR="00B35998" w:rsidRDefault="00B35998" w:rsidP="00B35998"/>
    <w:p w14:paraId="1EF80DD9" w14:textId="77777777" w:rsidR="00B35998" w:rsidRDefault="00B35998" w:rsidP="00B35998">
      <w:r>
        <w:t>G6PD deficiency, glutathione, and erythrocyte oxidative injury — 25</w:t>
      </w:r>
    </w:p>
    <w:p w14:paraId="2D37FB33" w14:textId="77777777" w:rsidR="00B35998" w:rsidRDefault="00B35998" w:rsidP="00B35998"/>
    <w:p w14:paraId="57ACA44D" w14:textId="77777777" w:rsidR="00B35998" w:rsidRDefault="00B35998" w:rsidP="00B35998">
      <w:r>
        <w:t>Pentose phosphate pathway in reductive biosynthesis and the oxidative burst — 8</w:t>
      </w:r>
    </w:p>
    <w:p w14:paraId="1527F079" w14:textId="77777777" w:rsidR="00B35998" w:rsidRDefault="00B35998" w:rsidP="00B35998"/>
    <w:p w14:paraId="384104E9" w14:textId="77777777" w:rsidR="00B35998" w:rsidRDefault="00B35998" w:rsidP="00B35998">
      <w:r>
        <w:t>Fructose, galactose, lactose synthesis, and polyol metabolism — 102 questions</w:t>
      </w:r>
    </w:p>
    <w:p w14:paraId="316625E7" w14:textId="77777777" w:rsidR="00B35998" w:rsidRDefault="00B35998" w:rsidP="00B35998"/>
    <w:p w14:paraId="36C8DECB" w14:textId="77777777" w:rsidR="00B35998" w:rsidRDefault="00B35998" w:rsidP="00B35998">
      <w:r>
        <w:t>Fructose metabolism, hereditary fructose disorders, and lipogenic effects — 42</w:t>
      </w:r>
    </w:p>
    <w:p w14:paraId="5317DD59" w14:textId="77777777" w:rsidR="00B35998" w:rsidRDefault="00B35998" w:rsidP="00B35998"/>
    <w:p w14:paraId="559383BC" w14:textId="77777777" w:rsidR="00B35998" w:rsidRDefault="00B35998" w:rsidP="00B35998">
      <w:r>
        <w:t>Galactose metabolism, galactosemia, and lactose synthesis — 36</w:t>
      </w:r>
    </w:p>
    <w:p w14:paraId="1731AC6D" w14:textId="77777777" w:rsidR="00B35998" w:rsidRDefault="00B35998" w:rsidP="00B35998"/>
    <w:p w14:paraId="67B07F01" w14:textId="77777777" w:rsidR="00B35998" w:rsidRDefault="00B35998" w:rsidP="00B35998">
      <w:r>
        <w:t>Polyol pathway, sorbitol/galactitol, and osmotic complications — 24</w:t>
      </w:r>
    </w:p>
    <w:p w14:paraId="7905260C" w14:textId="77777777" w:rsidR="00B35998" w:rsidRDefault="00B35998" w:rsidP="00B35998"/>
    <w:p w14:paraId="55918EA6" w14:textId="77777777" w:rsidR="00B35998" w:rsidRDefault="00B35998" w:rsidP="00B35998">
      <w:r>
        <w:t>Glycogen metabolism and glycogen storage diseases — 124 questions</w:t>
      </w:r>
    </w:p>
    <w:p w14:paraId="4C1A4C8C" w14:textId="77777777" w:rsidR="00B35998" w:rsidRDefault="00B35998" w:rsidP="00B35998"/>
    <w:p w14:paraId="27F77353" w14:textId="77777777" w:rsidR="00B35998" w:rsidRDefault="00B35998" w:rsidP="00B35998">
      <w:r>
        <w:t>Glycogen structure, synthesis, and activated intermediates — 29</w:t>
      </w:r>
    </w:p>
    <w:p w14:paraId="5B0FF02C" w14:textId="77777777" w:rsidR="00B35998" w:rsidRDefault="00B35998" w:rsidP="00B35998"/>
    <w:p w14:paraId="0D7DAA98" w14:textId="77777777" w:rsidR="00B35998" w:rsidRDefault="00B35998" w:rsidP="00B35998">
      <w:r>
        <w:t>Glycogenolysis, tissue-specific roles, and liver-vs-muscle differences — 44</w:t>
      </w:r>
    </w:p>
    <w:p w14:paraId="29063E32" w14:textId="77777777" w:rsidR="00B35998" w:rsidRDefault="00B35998" w:rsidP="00B35998"/>
    <w:p w14:paraId="6F8CC7BF" w14:textId="77777777" w:rsidR="00B35998" w:rsidRDefault="00B35998" w:rsidP="00B35998">
      <w:r>
        <w:t>Hormonal and allosteric regulation of glycogen metabolism — 29</w:t>
      </w:r>
    </w:p>
    <w:p w14:paraId="06D7E473" w14:textId="77777777" w:rsidR="00B35998" w:rsidRDefault="00B35998" w:rsidP="00B35998"/>
    <w:p w14:paraId="2363BF36" w14:textId="77777777" w:rsidR="00B35998" w:rsidRDefault="00B35998" w:rsidP="00B35998">
      <w:r>
        <w:t>Glycogen storage diseases — 22</w:t>
      </w:r>
    </w:p>
    <w:p w14:paraId="44AB2D45" w14:textId="77777777" w:rsidR="00B35998" w:rsidRDefault="00B35998" w:rsidP="00B35998"/>
    <w:p w14:paraId="75F481CF" w14:textId="77777777" w:rsidR="00B35998" w:rsidRDefault="00B35998" w:rsidP="00B35998">
      <w:r>
        <w:t>Hormonal regulation of carbohydrate metabolism, insulin secretion, diabetes, and fed-fast integration — 109 questions</w:t>
      </w:r>
    </w:p>
    <w:p w14:paraId="4024E8EC" w14:textId="77777777" w:rsidR="00B35998" w:rsidRDefault="00B35998" w:rsidP="00B35998"/>
    <w:p w14:paraId="63086FFD" w14:textId="77777777" w:rsidR="00B35998" w:rsidRDefault="00B35998" w:rsidP="00B35998">
      <w:r>
        <w:lastRenderedPageBreak/>
        <w:t>Beta-cell glucose sensing and insulin secretion — 41</w:t>
      </w:r>
    </w:p>
    <w:p w14:paraId="55BD16F9" w14:textId="77777777" w:rsidR="00B35998" w:rsidRDefault="00B35998" w:rsidP="00B35998"/>
    <w:p w14:paraId="52273508" w14:textId="77777777" w:rsidR="00B35998" w:rsidRDefault="00B35998" w:rsidP="00B35998">
      <w:r>
        <w:t>Incretins and antidiabetic pharmacology — 17</w:t>
      </w:r>
    </w:p>
    <w:p w14:paraId="452A674C" w14:textId="77777777" w:rsidR="00B35998" w:rsidRDefault="00B35998" w:rsidP="00B35998"/>
    <w:p w14:paraId="06C99DF6" w14:textId="77777777" w:rsidR="00B35998" w:rsidRDefault="00B35998" w:rsidP="00B35998">
      <w:r>
        <w:t>Insulin/glucagon signaling in liver, muscle, and adipose tissue — 21</w:t>
      </w:r>
    </w:p>
    <w:p w14:paraId="7FBDA78D" w14:textId="77777777" w:rsidR="00B35998" w:rsidRDefault="00B35998" w:rsidP="00B35998"/>
    <w:p w14:paraId="29D1CD7A" w14:textId="77777777" w:rsidR="00B35998" w:rsidRDefault="00B35998" w:rsidP="00B35998">
      <w:r>
        <w:t>Integrated fed-fast transitions, diabetes states, and electrolyte shifts — 30</w:t>
      </w:r>
    </w:p>
    <w:p w14:paraId="70C48188" w14:textId="77777777" w:rsidR="00B35998" w:rsidRDefault="00B35998" w:rsidP="00B35998"/>
    <w:p w14:paraId="3DAA31CC" w14:textId="77777777" w:rsidR="00B35998" w:rsidRDefault="00B35998" w:rsidP="00B35998">
      <w:r>
        <w:t>Ethanol metabolism and carbohydrate-metabolic consequences — 45 questions</w:t>
      </w:r>
    </w:p>
    <w:p w14:paraId="45452E75" w14:textId="77777777" w:rsidR="00B35998" w:rsidRDefault="00B35998" w:rsidP="00B35998"/>
    <w:p w14:paraId="0A14260F" w14:textId="77777777" w:rsidR="00B35998" w:rsidRDefault="00B35998" w:rsidP="00B35998">
      <w:r>
        <w:t>Ethanol oxidation pathways and alcohol-related therapeutics — 20</w:t>
      </w:r>
    </w:p>
    <w:p w14:paraId="4204C1F9" w14:textId="77777777" w:rsidR="00B35998" w:rsidRDefault="00B35998" w:rsidP="00B35998"/>
    <w:p w14:paraId="4B9253F5" w14:textId="77777777" w:rsidR="00B35998" w:rsidRDefault="00B35998" w:rsidP="00B35998">
      <w:r>
        <w:t>Redox effects of ethanol: lactic acidosis and fasting hypoglycemia — 20</w:t>
      </w:r>
    </w:p>
    <w:p w14:paraId="47ABCA6D" w14:textId="77777777" w:rsidR="00B35998" w:rsidRDefault="00B35998" w:rsidP="00B35998"/>
    <w:p w14:paraId="315BD321" w14:textId="24818B12" w:rsidR="00D23090" w:rsidRDefault="00B35998" w:rsidP="00B35998">
      <w:r>
        <w:t>Ethanol-induced fatty liver and drug-metabolism effects — 5</w:t>
      </w:r>
    </w:p>
    <w:sectPr w:rsidR="00D230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5998"/>
    <w:rsid w:val="004E6031"/>
    <w:rsid w:val="00794C60"/>
    <w:rsid w:val="0095061F"/>
    <w:rsid w:val="00B35998"/>
    <w:rsid w:val="00BC7676"/>
    <w:rsid w:val="00D230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83D2"/>
  <w15:chartTrackingRefBased/>
  <w15:docId w15:val="{13920E18-FC7E-457B-9227-01A123D2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359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59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59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59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59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998"/>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B35998"/>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B35998"/>
    <w:rPr>
      <w:rFonts w:eastAsiaTheme="majorEastAsia"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B35998"/>
    <w:rPr>
      <w:rFonts w:eastAsiaTheme="majorEastAsia"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B35998"/>
    <w:rPr>
      <w:rFonts w:eastAsiaTheme="majorEastAsia" w:cstheme="majorBidi"/>
      <w:color w:val="2E74B5" w:themeColor="accent1" w:themeShade="BF"/>
      <w:lang w:val="en-US"/>
    </w:rPr>
  </w:style>
  <w:style w:type="character" w:customStyle="1" w:styleId="Heading6Char">
    <w:name w:val="Heading 6 Char"/>
    <w:basedOn w:val="DefaultParagraphFont"/>
    <w:link w:val="Heading6"/>
    <w:uiPriority w:val="9"/>
    <w:semiHidden/>
    <w:rsid w:val="00B3599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3599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3599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3599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3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99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3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99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35998"/>
    <w:pPr>
      <w:spacing w:before="160"/>
      <w:jc w:val="center"/>
    </w:pPr>
    <w:rPr>
      <w:i/>
      <w:iCs/>
      <w:color w:val="404040" w:themeColor="text1" w:themeTint="BF"/>
    </w:rPr>
  </w:style>
  <w:style w:type="character" w:customStyle="1" w:styleId="QuoteChar">
    <w:name w:val="Quote Char"/>
    <w:basedOn w:val="DefaultParagraphFont"/>
    <w:link w:val="Quote"/>
    <w:uiPriority w:val="29"/>
    <w:rsid w:val="00B35998"/>
    <w:rPr>
      <w:i/>
      <w:iCs/>
      <w:color w:val="404040" w:themeColor="text1" w:themeTint="BF"/>
      <w:lang w:val="en-US"/>
    </w:rPr>
  </w:style>
  <w:style w:type="paragraph" w:styleId="ListParagraph">
    <w:name w:val="List Paragraph"/>
    <w:basedOn w:val="Normal"/>
    <w:uiPriority w:val="34"/>
    <w:qFormat/>
    <w:rsid w:val="00B35998"/>
    <w:pPr>
      <w:ind w:left="720"/>
      <w:contextualSpacing/>
    </w:pPr>
  </w:style>
  <w:style w:type="character" w:styleId="IntenseEmphasis">
    <w:name w:val="Intense Emphasis"/>
    <w:basedOn w:val="DefaultParagraphFont"/>
    <w:uiPriority w:val="21"/>
    <w:qFormat/>
    <w:rsid w:val="00B35998"/>
    <w:rPr>
      <w:i/>
      <w:iCs/>
      <w:color w:val="2E74B5" w:themeColor="accent1" w:themeShade="BF"/>
    </w:rPr>
  </w:style>
  <w:style w:type="paragraph" w:styleId="IntenseQuote">
    <w:name w:val="Intense Quote"/>
    <w:basedOn w:val="Normal"/>
    <w:next w:val="Normal"/>
    <w:link w:val="IntenseQuoteChar"/>
    <w:uiPriority w:val="30"/>
    <w:qFormat/>
    <w:rsid w:val="00B359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5998"/>
    <w:rPr>
      <w:i/>
      <w:iCs/>
      <w:color w:val="2E74B5" w:themeColor="accent1" w:themeShade="BF"/>
      <w:lang w:val="en-US"/>
    </w:rPr>
  </w:style>
  <w:style w:type="character" w:styleId="IntenseReference">
    <w:name w:val="Intense Reference"/>
    <w:basedOn w:val="DefaultParagraphFont"/>
    <w:uiPriority w:val="32"/>
    <w:qFormat/>
    <w:rsid w:val="00B359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Christos Chinopoulos (egyetemi docens)</dc:creator>
  <cp:keywords/>
  <dc:description/>
  <cp:lastModifiedBy>Dr. Christos Chinopoulos (egyetemi docens)</cp:lastModifiedBy>
  <cp:revision>1</cp:revision>
  <dcterms:created xsi:type="dcterms:W3CDTF">2026-03-09T07:39:00Z</dcterms:created>
  <dcterms:modified xsi:type="dcterms:W3CDTF">2026-03-09T07:41:00Z</dcterms:modified>
</cp:coreProperties>
</file>