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4E79"/>
          <w:sz w:val="40"/>
        </w:rPr>
        <w:t>Examiner's Review — Strict Assessment</w:t>
      </w:r>
    </w:p>
    <w:p>
      <w:pPr>
        <w:spacing w:after="40"/>
        <w:jc w:val="center"/>
      </w:pPr>
      <w:r>
        <w:rPr>
          <w:b w:val="0"/>
          <w:i/>
          <w:color w:val="555555"/>
          <w:sz w:val="24"/>
        </w:rPr>
        <w:t>Report under review: Multimodal Retrieval-Augmented Generation for Academic Documents</w:t>
      </w:r>
    </w:p>
    <w:p>
      <w:pPr>
        <w:spacing w:after="400"/>
        <w:jc w:val="center"/>
      </w:pPr>
      <w:r>
        <w:rPr>
          <w:b w:val="0"/>
          <w:i w:val="0"/>
          <w:color w:val="555555"/>
          <w:sz w:val="20"/>
        </w:rPr>
        <w:t>Reviewer role: AI Engineer / AI Researcher / Examiner  ·  28 June 2026</w:t>
      </w:r>
    </w:p>
    <w:p>
      <w:pPr>
        <w:pStyle w:val="Heading1"/>
      </w:pPr>
      <w:r>
        <w:t>Summary judgement</w:t>
      </w:r>
    </w:p>
    <w:p>
      <w:r>
        <w:rPr>
          <w:b w:val="0"/>
          <w:i w:val="0"/>
        </w:rPr>
        <w:t>This is a strong, unusually honest piece of empirical systems research. It does the two things most student multimodal-RAG projects fail to do: it states falsifiable hypotheses BEFORE looking at the data, and it reports its own null and negative results without spin. The describe-then-embed vs embed-the-image result is a genuine, cleanly-separated finding, and the discovery that reciprocal rank fusion HURTS is a non-obvious contribution. The work would be publishable as a workshop/short paper after the sample-size and human-validation gaps are closed.</w:t>
      </w:r>
    </w:p>
    <w:p>
      <w:r>
        <w:rPr>
          <w:b/>
          <w:i w:val="0"/>
        </w:rPr>
        <w:t xml:space="preserve">However — and this is the crux — </w:t>
      </w:r>
      <w:r>
        <w:rPr>
          <w:b w:val="0"/>
          <w:i w:val="0"/>
        </w:rPr>
        <w:t>the central positive claims are not statistically supported. Every headline improvement (H1, H2 lift; the fusion winner) sits inside overlapping 95% bootstrap CIs at n=33. The report says so, repeatedly and correctly, which is to its great credit, but candour about a limitation does not remove the limitation. The only claims that survive a strict reading are: (a) the image-embedding DEFICIT, (b) the faithfulness/leakage fix, and (c) the conditional DIRECTION of the effect across the two regimes. These are real; the magnitudes are not yet earned.</w:t>
      </w:r>
    </w:p>
    <w:p>
      <w:pPr>
        <w:pStyle w:val="Heading1"/>
      </w:pPr>
      <w:r>
        <w:t>What the report gets right</w:t>
      </w:r>
    </w:p>
    <w:p>
      <w:pPr>
        <w:pStyle w:val="ListBullet"/>
      </w:pPr>
      <w:r>
        <w:t>Pre-registration of H1–H3 and explicit type-stratified (figure vs text) reporting — textbook methodology that pre-empts the obvious author-bias objection.</w:t>
      </w:r>
    </w:p>
    <w:p>
      <w:pPr>
        <w:pStyle w:val="ListBullet"/>
      </w:pPr>
      <w:r>
        <w:t>A genuine two-regime design (text-rich paper vs text-sparse slides). The null on the paper is used as confirmation of H2's moderator, not buried — exactly right.</w:t>
      </w:r>
    </w:p>
    <w:p>
      <w:pPr>
        <w:pStyle w:val="ListBullet"/>
      </w:pPr>
      <w:r>
        <w:t>Bootstrap CIs on every metric and an honest 'indicative, not significant' verdict. Most projects would have declared victory on the point estimates.</w:t>
      </w:r>
    </w:p>
    <w:p>
      <w:pPr>
        <w:pStyle w:val="ListBullet"/>
      </w:pPr>
      <w:r>
        <w:t>The faithfulness metric caught a real prompt bug (index-as-page leakage) rather than rubber-stamping a prior belief — the single most convincing moment in the report.</w:t>
      </w:r>
    </w:p>
    <w:p>
      <w:pPr>
        <w:pStyle w:val="ListBullet"/>
      </w:pPr>
      <w:r>
        <w:t>Cost-aware, reproducible engineering: pinned model IDs, seeds, a self-contained repro pack verified to reproduce the headline fusion number exactly.</w:t>
      </w:r>
    </w:p>
    <w:p>
      <w:pPr>
        <w:pStyle w:val="ListBullet"/>
      </w:pPr>
      <w:r>
        <w:t>The fusion analysis is more sophisticated than the literature cliche: it distinguishes rank-based from distribution-aware 'principled' fusion and shows the former is harmful.</w:t>
      </w:r>
    </w:p>
    <w:p>
      <w:pPr>
        <w:pStyle w:val="Heading1"/>
      </w:pPr>
      <w:r>
        <w:t>Required revisions (must-fix for a top grade)</w:t>
      </w:r>
    </w:p>
    <w:p>
      <w:pPr>
        <w:spacing w:after="120"/>
      </w:pPr>
      <w:r>
        <w:rPr>
          <w:b/>
        </w:rPr>
        <w:t xml:space="preserve">R1. </w:t>
      </w:r>
      <w:r>
        <w:rPr>
          <w:b/>
        </w:rPr>
        <w:t xml:space="preserve">Sample size. </w:t>
      </w:r>
      <w:r>
        <w:t>n=33 (18 figure) cannot support the central positive claims. The honest framing helps but does not substitute for power. Either (a) expand the gold set to n≳100 with figure coverage ≥50, or (b) demote every positive lift in the abstract/conclusion to explicitly hypothesis-generating language. As written, the abstract still leads with 'beats' verbs that the statistics do not license.</w:t>
      </w:r>
    </w:p>
    <w:p>
      <w:pPr>
        <w:spacing w:after="120"/>
      </w:pPr>
      <w:r>
        <w:rPr>
          <w:b/>
        </w:rPr>
        <w:t xml:space="preserve">R2. </w:t>
      </w:r>
      <w:r>
        <w:rPr>
          <w:b/>
        </w:rPr>
        <w:t xml:space="preserve">The judge–human κ is not human-validated. </w:t>
      </w:r>
      <w:r>
        <w:t>κ=0.586 rests on an author-PROXY (the AI assistant) second-rater, not a person. This is disclosed, but a judge validated only against another model is circular for the purpose of trusting an LLM judge. The author's own blind labels on ≥25 items are mandatory before the QA-accuracy table can be reported as more than illustrative.</w:t>
      </w:r>
    </w:p>
    <w:p>
      <w:pPr>
        <w:spacing w:after="120"/>
      </w:pPr>
      <w:r>
        <w:rPr>
          <w:b/>
        </w:rPr>
        <w:t xml:space="preserve">R3. </w:t>
      </w:r>
      <w:r>
        <w:rPr>
          <w:b/>
        </w:rPr>
        <w:t xml:space="preserve">No competing-system baseline. </w:t>
      </w:r>
      <w:r>
        <w:t>The proposal names ColPali as the natural upper-reference and then never runs it, not even qualitatively. Without ANY external system, 'our pipeline works' has no ceiling to be measured against. At minimum, a small ColPali (or a captioning-quality ablation) on a 10-question slice is needed.</w:t>
      </w:r>
    </w:p>
    <w:p>
      <w:pPr>
        <w:spacing w:after="120"/>
      </w:pPr>
      <w:r>
        <w:rPr>
          <w:b/>
        </w:rPr>
        <w:t xml:space="preserve">R4. </w:t>
      </w:r>
      <w:r>
        <w:rPr>
          <w:b/>
        </w:rPr>
        <w:t xml:space="preserve">Gold set has a single author and no second annotator. </w:t>
      </w:r>
      <w:r>
        <w:t>Pre-registration mitigates leakage but not question-quality or evidence-page subjectivity. Report inter-annotator agreement on a subset of the gold questions themselves, not only on the judge.</w:t>
      </w:r>
    </w:p>
    <w:p>
      <w:pPr>
        <w:spacing w:after="120"/>
      </w:pPr>
      <w:r>
        <w:rPr>
          <w:b/>
        </w:rPr>
        <w:t xml:space="preserve">R5. </w:t>
      </w:r>
      <w:r>
        <w:rPr>
          <w:b/>
        </w:rPr>
        <w:t xml:space="preserve">CLIP is the weakest reasonable image encoder. </w:t>
      </w:r>
      <w:r>
        <w:t>The negative H3 direction is partly confounded with encoder capacity. clip-ViT-B-32 is the smallest standard CLIP. The embed-the-image arm should be re-run with at least ViT-L/14 (and ideally SigLIP) before concluding the DEFICIT is intrinsic to figures rather than to a tiny encoder. This is named in Threats but a one-line acknowledgement is not enough when it underpins the main theoretical result.</w:t>
      </w:r>
    </w:p>
    <w:p>
      <w:pPr>
        <w:pStyle w:val="Heading1"/>
      </w:pPr>
      <w:r>
        <w:t>Recommended improvements (would strengthen, not blocking)</w:t>
      </w:r>
    </w:p>
    <w:p>
      <w:pPr>
        <w:pStyle w:val="ListBullet"/>
      </w:pPr>
      <w:r>
        <w:t>Add an effect-size or paired test (e.g. per-question paired bootstrap of the DIFFERENCE) rather than comparing two independently-bootstrapped CIs — paired resampling is more powerful and is the statistically correct test for matched conditions. This alone might push some lifts to significance without new data.</w:t>
      </w:r>
    </w:p>
    <w:p>
      <w:pPr>
        <w:pStyle w:val="ListBullet"/>
      </w:pPr>
      <w:r>
        <w:t>Report the E1 (OCR-only) condition. The ablation ladder defines it but Results jump from text-only to +captions, leaving OCR's isolated contribution unmeasured on the slides.</w:t>
      </w:r>
    </w:p>
    <w:p>
      <w:pPr>
        <w:pStyle w:val="ListBullet"/>
      </w:pPr>
      <w:r>
        <w:t>Quantify caption quality directly (e.g. a small human rating of caption faithfulness), since the entire describe-then-embed thesis rests on caption quality.</w:t>
      </w:r>
    </w:p>
    <w:p>
      <w:pPr>
        <w:pStyle w:val="ListBullet"/>
      </w:pPr>
      <w:r>
        <w:t>Show one or two qualitative failure cases (a question the system gets wrong) — the report is all aggregate metrics and no error analysis.</w:t>
      </w:r>
    </w:p>
    <w:p>
      <w:pPr>
        <w:pStyle w:val="ListBullet"/>
      </w:pPr>
      <w:r>
        <w:t>Make the α* selection honest about overfitting: α=0.8 is tuned on the SAME 33 questions it is evaluated on. Either nested cross-validation or a held-out split, or at least an explicit statement that α* is in-sample and the +0.029 is therefore optimistic.</w:t>
      </w:r>
    </w:p>
    <w:p>
      <w:pPr>
        <w:pStyle w:val="Heading1"/>
      </w:pPr>
      <w:r>
        <w:t>Section-by-section marks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1F4E79"/>
          </w:tcPr>
          <w:p>
            <w:pPr>
              <w:jc w:val="left"/>
            </w:pPr>
            <w:r/>
            <w:r>
              <w:rPr>
                <w:b/>
                <w:color w:val="FFFFFF"/>
                <w:sz w:val="19"/>
              </w:rPr>
              <w:t>Section</w:t>
            </w:r>
          </w:p>
        </w:tc>
        <w:tc>
          <w:tcPr>
            <w:tcW w:type="dxa" w:w="3120"/>
            <w:shd w:val="clear" w:color="auto" w:fill="1F4E79"/>
          </w:tcPr>
          <w:p>
            <w:pPr>
              <w:jc w:val="center"/>
            </w:pPr>
            <w:r/>
            <w:r>
              <w:rPr>
                <w:b/>
                <w:color w:val="FFFFFF"/>
                <w:sz w:val="19"/>
              </w:rPr>
              <w:t>Grade</w:t>
            </w:r>
          </w:p>
        </w:tc>
        <w:tc>
          <w:tcPr>
            <w:tcW w:type="dxa" w:w="3120"/>
            <w:shd w:val="clear" w:color="auto" w:fill="1F4E79"/>
          </w:tcPr>
          <w:p>
            <w:pPr>
              <w:jc w:val="center"/>
            </w:pPr>
            <w:r/>
            <w:r>
              <w:rPr>
                <w:b/>
                <w:color w:val="FFFFFF"/>
                <w:sz w:val="19"/>
              </w:rPr>
              <w:t>Comment</w:t>
            </w:r>
          </w:p>
        </w:tc>
      </w:tr>
      <w:tr>
        <w:tc>
          <w:tcPr>
            <w:tcW w:type="dxa" w:w="3120"/>
          </w:tcPr>
          <w:p>
            <w:pPr>
              <w:jc w:val="left"/>
            </w:pPr>
            <w:r/>
            <w:r>
              <w:rPr>
                <w:sz w:val="19"/>
              </w:rPr>
              <w:t>Motivation &amp; background</w:t>
            </w:r>
          </w:p>
        </w:tc>
        <w:tc>
          <w:tcPr>
            <w:tcW w:type="dxa" w:w="3120"/>
          </w:tcPr>
          <w:p>
            <w:pPr>
              <w:jc w:val="center"/>
            </w:pPr>
            <w:r/>
            <w:r>
              <w:rPr>
                <w:sz w:val="19"/>
              </w:rPr>
              <w:t>A</w:t>
            </w:r>
          </w:p>
        </w:tc>
        <w:tc>
          <w:tcPr>
            <w:tcW w:type="dxa" w:w="3120"/>
          </w:tcPr>
          <w:p>
            <w:pPr>
              <w:jc w:val="center"/>
            </w:pPr>
            <w:r/>
            <w:r>
              <w:rPr>
                <w:sz w:val="19"/>
              </w:rPr>
              <w:t>Clear, correctly identifies the modality gap and the OOD argument as the crux.</w:t>
            </w:r>
          </w:p>
        </w:tc>
      </w:tr>
      <w:tr>
        <w:tc>
          <w:tcPr>
            <w:tcW w:type="dxa" w:w="3120"/>
            <w:shd w:val="clear" w:color="auto" w:fill="EAF1F8"/>
          </w:tcPr>
          <w:p>
            <w:pPr>
              <w:jc w:val="left"/>
            </w:pPr>
            <w:r/>
            <w:r>
              <w:rPr>
                <w:sz w:val="19"/>
              </w:rPr>
              <w:t>Formal problem statement</w:t>
            </w:r>
          </w:p>
        </w:tc>
        <w:tc>
          <w:tcPr>
            <w:tcW w:type="dxa" w:w="3120"/>
            <w:shd w:val="clear" w:color="auto" w:fill="EAF1F8"/>
          </w:tcPr>
          <w:p>
            <w:pPr>
              <w:jc w:val="center"/>
            </w:pPr>
            <w:r/>
            <w:r>
              <w:rPr>
                <w:sz w:val="19"/>
              </w:rPr>
              <w:t>A−</w:t>
            </w:r>
          </w:p>
        </w:tc>
        <w:tc>
          <w:tcPr>
            <w:tcW w:type="dxa" w:w="3120"/>
            <w:shd w:val="clear" w:color="auto" w:fill="EAF1F8"/>
          </w:tcPr>
          <w:p>
            <w:pPr>
              <w:jc w:val="center"/>
            </w:pPr>
            <w:r/>
            <w:r>
              <w:rPr>
                <w:sz w:val="19"/>
              </w:rPr>
              <w:t>Rigorous; could state the relevance/gold definitions a touch more formally.</w:t>
            </w:r>
          </w:p>
        </w:tc>
      </w:tr>
      <w:tr>
        <w:tc>
          <w:tcPr>
            <w:tcW w:type="dxa" w:w="3120"/>
          </w:tcPr>
          <w:p>
            <w:pPr>
              <w:jc w:val="left"/>
            </w:pPr>
            <w:r/>
            <w:r>
              <w:rPr>
                <w:sz w:val="19"/>
              </w:rPr>
              <w:t>Hypotheses</w:t>
            </w:r>
          </w:p>
        </w:tc>
        <w:tc>
          <w:tcPr>
            <w:tcW w:type="dxa" w:w="3120"/>
          </w:tcPr>
          <w:p>
            <w:pPr>
              <w:jc w:val="center"/>
            </w:pPr>
            <w:r/>
            <w:r>
              <w:rPr>
                <w:sz w:val="19"/>
              </w:rPr>
              <w:t>A</w:t>
            </w:r>
          </w:p>
        </w:tc>
        <w:tc>
          <w:tcPr>
            <w:tcW w:type="dxa" w:w="3120"/>
          </w:tcPr>
          <w:p>
            <w:pPr>
              <w:jc w:val="center"/>
            </w:pPr>
            <w:r/>
            <w:r>
              <w:rPr>
                <w:sz w:val="19"/>
              </w:rPr>
              <w:t>Genuinely pre-registered and falsifiable — the report's strongest methodological feature.</w:t>
            </w:r>
          </w:p>
        </w:tc>
      </w:tr>
      <w:tr>
        <w:tc>
          <w:tcPr>
            <w:tcW w:type="dxa" w:w="3120"/>
            <w:shd w:val="clear" w:color="auto" w:fill="EAF1F8"/>
          </w:tcPr>
          <w:p>
            <w:pPr>
              <w:jc w:val="left"/>
            </w:pPr>
            <w:r/>
            <w:r>
              <w:rPr>
                <w:sz w:val="19"/>
              </w:rPr>
              <w:t>Methodology / pipeline</w:t>
            </w:r>
          </w:p>
        </w:tc>
        <w:tc>
          <w:tcPr>
            <w:tcW w:type="dxa" w:w="3120"/>
            <w:shd w:val="clear" w:color="auto" w:fill="EAF1F8"/>
          </w:tcPr>
          <w:p>
            <w:pPr>
              <w:jc w:val="center"/>
            </w:pPr>
            <w:r/>
            <w:r>
              <w:rPr>
                <w:sz w:val="19"/>
              </w:rPr>
              <w:t>A−</w:t>
            </w:r>
          </w:p>
        </w:tc>
        <w:tc>
          <w:tcPr>
            <w:tcW w:type="dxa" w:w="3120"/>
            <w:shd w:val="clear" w:color="auto" w:fill="EAF1F8"/>
          </w:tcPr>
          <w:p>
            <w:pPr>
              <w:jc w:val="center"/>
            </w:pPr>
            <w:r/>
            <w:r>
              <w:rPr>
                <w:sz w:val="19"/>
              </w:rPr>
              <w:t>Well-justified, cost-aware choices; chunking is the weak link and is owned as such.</w:t>
            </w:r>
          </w:p>
        </w:tc>
      </w:tr>
      <w:tr>
        <w:tc>
          <w:tcPr>
            <w:tcW w:type="dxa" w:w="3120"/>
          </w:tcPr>
          <w:p>
            <w:pPr>
              <w:jc w:val="left"/>
            </w:pPr>
            <w:r/>
            <w:r>
              <w:rPr>
                <w:sz w:val="19"/>
              </w:rPr>
              <w:t>Evaluation protocol</w:t>
            </w:r>
          </w:p>
        </w:tc>
        <w:tc>
          <w:tcPr>
            <w:tcW w:type="dxa" w:w="3120"/>
          </w:tcPr>
          <w:p>
            <w:pPr>
              <w:jc w:val="center"/>
            </w:pPr>
            <w:r/>
            <w:r>
              <w:rPr>
                <w:sz w:val="19"/>
              </w:rPr>
              <w:t>B+</w:t>
            </w:r>
          </w:p>
        </w:tc>
        <w:tc>
          <w:tcPr>
            <w:tcW w:type="dxa" w:w="3120"/>
          </w:tcPr>
          <w:p>
            <w:pPr>
              <w:jc w:val="center"/>
            </w:pPr>
            <w:r/>
            <w:r>
              <w:rPr>
                <w:sz w:val="19"/>
              </w:rPr>
              <w:t>Good metric suite; missing a paired significance test and an external baseline.</w:t>
            </w:r>
          </w:p>
        </w:tc>
      </w:tr>
      <w:tr>
        <w:tc>
          <w:tcPr>
            <w:tcW w:type="dxa" w:w="3120"/>
            <w:shd w:val="clear" w:color="auto" w:fill="EAF1F8"/>
          </w:tcPr>
          <w:p>
            <w:pPr>
              <w:jc w:val="left"/>
            </w:pPr>
            <w:r/>
            <w:r>
              <w:rPr>
                <w:sz w:val="19"/>
              </w:rPr>
              <w:t>Results</w:t>
            </w:r>
          </w:p>
        </w:tc>
        <w:tc>
          <w:tcPr>
            <w:tcW w:type="dxa" w:w="3120"/>
            <w:shd w:val="clear" w:color="auto" w:fill="EAF1F8"/>
          </w:tcPr>
          <w:p>
            <w:pPr>
              <w:jc w:val="center"/>
            </w:pPr>
            <w:r/>
            <w:r>
              <w:rPr>
                <w:sz w:val="19"/>
              </w:rPr>
              <w:t>B+</w:t>
            </w:r>
          </w:p>
        </w:tc>
        <w:tc>
          <w:tcPr>
            <w:tcW w:type="dxa" w:w="3120"/>
            <w:shd w:val="clear" w:color="auto" w:fill="EAF1F8"/>
          </w:tcPr>
          <w:p>
            <w:pPr>
              <w:jc w:val="center"/>
            </w:pPr>
            <w:r/>
            <w:r>
              <w:rPr>
                <w:sz w:val="19"/>
              </w:rPr>
              <w:t>Honest and thorough, but the positive claims outrun the statistics and E1 is missing.</w:t>
            </w:r>
          </w:p>
        </w:tc>
      </w:tr>
      <w:tr>
        <w:tc>
          <w:tcPr>
            <w:tcW w:type="dxa" w:w="3120"/>
          </w:tcPr>
          <w:p>
            <w:pPr>
              <w:jc w:val="left"/>
            </w:pPr>
            <w:r/>
            <w:r>
              <w:rPr>
                <w:sz w:val="19"/>
              </w:rPr>
              <w:t>Faithfulness</w:t>
            </w:r>
          </w:p>
        </w:tc>
        <w:tc>
          <w:tcPr>
            <w:tcW w:type="dxa" w:w="3120"/>
          </w:tcPr>
          <w:p>
            <w:pPr>
              <w:jc w:val="center"/>
            </w:pPr>
            <w:r/>
            <w:r>
              <w:rPr>
                <w:sz w:val="19"/>
              </w:rPr>
              <w:t>A</w:t>
            </w:r>
          </w:p>
        </w:tc>
        <w:tc>
          <w:tcPr>
            <w:tcW w:type="dxa" w:w="3120"/>
          </w:tcPr>
          <w:p>
            <w:pPr>
              <w:jc w:val="center"/>
            </w:pPr>
            <w:r/>
            <w:r>
              <w:rPr>
                <w:sz w:val="19"/>
              </w:rPr>
              <w:t>Best part of the report — the metric earned its keep.</w:t>
            </w:r>
          </w:p>
        </w:tc>
      </w:tr>
      <w:tr>
        <w:tc>
          <w:tcPr>
            <w:tcW w:type="dxa" w:w="3120"/>
            <w:shd w:val="clear" w:color="auto" w:fill="EAF1F8"/>
          </w:tcPr>
          <w:p>
            <w:pPr>
              <w:jc w:val="left"/>
            </w:pPr>
            <w:r/>
            <w:r>
              <w:rPr>
                <w:sz w:val="19"/>
              </w:rPr>
              <w:t>QA accuracy</w:t>
            </w:r>
          </w:p>
        </w:tc>
        <w:tc>
          <w:tcPr>
            <w:tcW w:type="dxa" w:w="3120"/>
            <w:shd w:val="clear" w:color="auto" w:fill="EAF1F8"/>
          </w:tcPr>
          <w:p>
            <w:pPr>
              <w:jc w:val="center"/>
            </w:pPr>
            <w:r/>
            <w:r>
              <w:rPr>
                <w:sz w:val="19"/>
              </w:rPr>
              <w:t>B</w:t>
            </w:r>
          </w:p>
        </w:tc>
        <w:tc>
          <w:tcPr>
            <w:tcW w:type="dxa" w:w="3120"/>
            <w:shd w:val="clear" w:color="auto" w:fill="EAF1F8"/>
          </w:tcPr>
          <w:p>
            <w:pPr>
              <w:jc w:val="center"/>
            </w:pPr>
            <w:r/>
            <w:r>
              <w:rPr>
                <w:sz w:val="19"/>
              </w:rPr>
              <w:t>Good design (judge one tier up) but the κ rests on a proxy rater; claims are over-stated relative to that.</w:t>
            </w:r>
          </w:p>
        </w:tc>
      </w:tr>
      <w:tr>
        <w:tc>
          <w:tcPr>
            <w:tcW w:type="dxa" w:w="3120"/>
          </w:tcPr>
          <w:p>
            <w:pPr>
              <w:jc w:val="left"/>
            </w:pPr>
            <w:r/>
            <w:r>
              <w:rPr>
                <w:sz w:val="19"/>
              </w:rPr>
              <w:t>Threats / reproducibility</w:t>
            </w:r>
          </w:p>
        </w:tc>
        <w:tc>
          <w:tcPr>
            <w:tcW w:type="dxa" w:w="3120"/>
          </w:tcPr>
          <w:p>
            <w:pPr>
              <w:jc w:val="center"/>
            </w:pPr>
            <w:r/>
            <w:r>
              <w:rPr>
                <w:sz w:val="19"/>
              </w:rPr>
              <w:t>A</w:t>
            </w:r>
          </w:p>
        </w:tc>
        <w:tc>
          <w:tcPr>
            <w:tcW w:type="dxa" w:w="3120"/>
          </w:tcPr>
          <w:p>
            <w:pPr>
              <w:jc w:val="center"/>
            </w:pPr>
            <w:r/>
            <w:r>
              <w:rPr>
                <w:sz w:val="19"/>
              </w:rPr>
              <w:t>Comprehensive and unusually honest; repro pack verified.</w:t>
            </w:r>
          </w:p>
        </w:tc>
      </w:tr>
      <w:tr>
        <w:tc>
          <w:tcPr>
            <w:tcW w:type="dxa" w:w="3120"/>
            <w:shd w:val="clear" w:color="auto" w:fill="EAF1F8"/>
          </w:tcPr>
          <w:p>
            <w:pPr>
              <w:jc w:val="left"/>
            </w:pPr>
            <w:r/>
            <w:r>
              <w:rPr>
                <w:sz w:val="19"/>
              </w:rPr>
              <w:t>Conclusion</w:t>
            </w:r>
          </w:p>
        </w:tc>
        <w:tc>
          <w:tcPr>
            <w:tcW w:type="dxa" w:w="3120"/>
            <w:shd w:val="clear" w:color="auto" w:fill="EAF1F8"/>
          </w:tcPr>
          <w:p>
            <w:pPr>
              <w:jc w:val="center"/>
            </w:pPr>
            <w:r/>
            <w:r>
              <w:rPr>
                <w:sz w:val="19"/>
              </w:rPr>
              <w:t>B+</w:t>
            </w:r>
          </w:p>
        </w:tc>
        <w:tc>
          <w:tcPr>
            <w:tcW w:type="dxa" w:w="3120"/>
            <w:shd w:val="clear" w:color="auto" w:fill="EAF1F8"/>
          </w:tcPr>
          <w:p>
            <w:pPr>
              <w:jc w:val="center"/>
            </w:pPr>
            <w:r/>
            <w:r>
              <w:rPr>
                <w:sz w:val="19"/>
              </w:rPr>
              <w:t>Accurate, but inherits the abstract's slightly over-confident verb choice.</w:t>
            </w:r>
          </w:p>
        </w:tc>
      </w:tr>
    </w:tbl>
    <w:p>
      <w:pPr>
        <w:pStyle w:val="Heading1"/>
      </w:pPr>
      <w:r>
        <w:t>Overall</w:t>
      </w:r>
    </w:p>
    <w:p>
      <w:r>
        <w:rPr>
          <w:b/>
          <w:i w:val="0"/>
        </w:rPr>
        <w:t xml:space="preserve">Provisional grade: </w:t>
      </w:r>
      <w:r>
        <w:rPr>
          <w:b/>
          <w:i w:val="0"/>
          <w:color w:val="1F4E79"/>
        </w:rPr>
        <w:t xml:space="preserve">A− / B+ (strong distinction, capped below the top band by statistical power and the proxy-rater κ). </w:t>
      </w:r>
    </w:p>
    <w:p>
      <w:r>
        <w:rPr>
          <w:b w:val="0"/>
          <w:i w:val="0"/>
        </w:rPr>
        <w:t>The engineering, honesty, and theoretical framing are at or above publication standard. The empirical support for the positive claims is not. Close R1 (sample size, or fully demote the language) and R2 (real human κ), and this moves into the top band. As submitted, it is an excellent report about a study that is under-powered to prove its most interesting positive claim — and, to its credit, it almost says exactly that itself.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