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Arial" w:hAnsi="Arial"/>
          <w:b w:val="0"/>
          <w:sz w:val="24"/>
        </w:rPr>
        <w:t>PONTIFÍCIA UNIVERSIDADE CATÓLICA DE GOIÁS</w:t>
      </w:r>
    </w:p>
    <w:p>
      <w:pPr>
        <w:jc w:val="center"/>
      </w:pPr>
      <w:r>
        <w:rPr>
          <w:rFonts w:ascii="Arial" w:hAnsi="Arial"/>
          <w:b w:val="0"/>
          <w:sz w:val="24"/>
        </w:rPr>
        <w:t>CURSO DE BIG DATA E INTELIGÊNCIA ARTIFICIAL</w:t>
      </w:r>
    </w:p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Arial" w:hAnsi="Arial"/>
          <w:b w:val="0"/>
          <w:sz w:val="24"/>
        </w:rPr>
        <w:t>HIELKO HAYNE TERCEIROS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Arial" w:hAnsi="Arial"/>
          <w:b/>
          <w:sz w:val="24"/>
        </w:rPr>
        <w:t>PAINEL ANALÍTICO DE CRIPTOATIVOS DECLARADOS À RECEITA FEDERAL PARA APOIO À DECISÃO DA ESTRUTURA CONTÁBIL</w:t>
      </w:r>
    </w:p>
    <w:p>
      <w:pPr>
        <w:jc w:val="both"/>
      </w:pPr>
    </w:p>
    <w:p>
      <w:pPr>
        <w:jc w:val="center"/>
      </w:pPr>
      <w:r>
        <w:rPr>
          <w:rFonts w:ascii="Arial" w:hAnsi="Arial"/>
          <w:b w:val="0"/>
          <w:sz w:val="24"/>
        </w:rPr>
        <w:t>Relatório Técnico — Projeto Integrador Extensionista</w:t>
      </w:r>
    </w:p>
    <w:p>
      <w:pPr>
        <w:jc w:val="center"/>
      </w:pPr>
      <w:r>
        <w:rPr>
          <w:rFonts w:ascii="Arial" w:hAnsi="Arial"/>
          <w:b w:val="0"/>
          <w:sz w:val="24"/>
        </w:rPr>
        <w:t>Disciplinas: Técnicas de Visualização de Dados e Business Intelligence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Arial" w:hAnsi="Arial"/>
          <w:b w:val="0"/>
          <w:sz w:val="24"/>
        </w:rPr>
        <w:t>GOIÂNIA-GO</w:t>
      </w:r>
    </w:p>
    <w:p>
      <w:pPr>
        <w:jc w:val="center"/>
      </w:pPr>
      <w:r>
        <w:rPr>
          <w:rFonts w:ascii="Arial" w:hAnsi="Arial"/>
          <w:b w:val="0"/>
          <w:sz w:val="24"/>
        </w:rPr>
        <w:t>2026</w:t>
      </w:r>
    </w:p>
    <w:p>
      <w:r>
        <w:br w:type="page"/>
      </w:r>
    </w:p>
    <w:p>
      <w:pPr>
        <w:jc w:val="left"/>
      </w:pPr>
      <w:r>
        <w:rPr>
          <w:rFonts w:ascii="Arial" w:hAnsi="Arial"/>
          <w:b/>
          <w:sz w:val="24"/>
        </w:rPr>
        <w:t>SUMÁRIO</w:t>
      </w:r>
    </w:p>
    <w:p>
      <w:r>
        <w:fldChar w:fldCharType="begin"/>
      </w:r>
      <w:r>
        <w:instrText xml:space="preserve">TOC \o "1-1" \h \z \u</w:instrText>
      </w:r>
      <w:r>
        <w:fldChar w:fldCharType="separate"/>
      </w:r>
      <w:r>
        <w:fldChar w:fldCharType="end"/>
      </w:r>
    </w:p>
    <w:p>
      <w:pPr>
        <w:spacing w:line="240" w:lineRule="auto"/>
        <w:jc w:val="left"/>
      </w:pPr>
      <w:r>
        <w:rPr>
          <w:rFonts w:ascii="Arial" w:hAnsi="Arial"/>
          <w:b w:val="0"/>
          <w:sz w:val="20"/>
        </w:rPr>
        <w:t>(Clique com o botão direito sobre a lista acima e escolha "Atualizar campo" para gerar o sumário com os números de página.)</w:t>
      </w:r>
    </w:p>
    <w:p>
      <w:pPr>
        <w:sectPr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  <w:jc w:val="left"/>
      </w:pPr>
      <w:r>
        <w:rPr>
          <w:rFonts w:ascii="Arial" w:hAnsi="Arial"/>
          <w:b/>
          <w:sz w:val="24"/>
        </w:rPr>
        <w:t>1 ORGANIZAÇÃO PARCEIRA</w:t>
      </w:r>
    </w:p>
    <w:p>
      <w:pPr>
        <w:jc w:val="both"/>
      </w:pPr>
      <w:r>
        <w:rPr>
          <w:rFonts w:ascii="Arial" w:hAnsi="Arial"/>
          <w:b w:val="0"/>
          <w:sz w:val="24"/>
        </w:rPr>
        <w:t>Estrutura Contábil — escritório de contabilidade de natureza privada, sediado em Valparaíso de Goiás-GO, atuando na prestação de serviços de assessoria contábil e tributária. O vínculo com o projeto foi estabelecido por relação familiar: a representante da organização, Luciana, proprietária e gestora do escritório, é tia do autor do projeto.</w:t>
      </w:r>
    </w:p>
    <w:p>
      <w:pPr>
        <w:pStyle w:val="Heading1"/>
        <w:jc w:val="left"/>
      </w:pPr>
      <w:r>
        <w:rPr>
          <w:rFonts w:ascii="Arial" w:hAnsi="Arial"/>
          <w:b/>
          <w:sz w:val="24"/>
        </w:rPr>
        <w:t>2 NECESSIDADE OU PROBLEMA IDENTIFICADO</w:t>
      </w:r>
    </w:p>
    <w:p>
      <w:pPr>
        <w:jc w:val="both"/>
      </w:pPr>
      <w:r>
        <w:rPr>
          <w:rFonts w:ascii="Arial" w:hAnsi="Arial"/>
          <w:b w:val="0"/>
          <w:sz w:val="24"/>
        </w:rPr>
        <w:t>Segundo a representante da organização, clientes do escritório frequentemente perguntam “onde o dinheiro está indo” e “vale a pena entrar nisso [em criptoativos]?”. O público do painel são os clientes do escritório que investem ou pensam em investir em criptoativos. A decisão que o painel deve apoiar é a de investimento desses clientes, mostrando quais criptoativos concentram mais recursos e qual a tendência de movimentação da massa.</w:t>
      </w:r>
    </w:p>
    <w:p>
      <w:pPr>
        <w:jc w:val="both"/>
      </w:pPr>
      <w:r>
        <w:rPr>
          <w:rFonts w:ascii="Arial" w:hAnsi="Arial"/>
          <w:b w:val="0"/>
          <w:sz w:val="24"/>
        </w:rPr>
        <w:t>A representante fez duas observações importantes, incorporadas ao projeto: (i) o painel precisa deixar claro que não é recomendação de investimento, e sim um retrato do que foi declarado à Receita Federal; (ii) a linguagem deve ser simples, já que nem todo cliente é da área financeira — por isso cada aba do painel tem um título que já resume a conclusão (ex.: “os 5 maiores ativos concentram X% do valor”). O resultado esperado pela organização é ter esse material de apoio visual disponível para usar nas orientações a clientes.</w:t>
      </w:r>
    </w:p>
    <w:p>
      <w:pPr>
        <w:pStyle w:val="Heading1"/>
        <w:jc w:val="left"/>
      </w:pPr>
      <w:r>
        <w:rPr>
          <w:rFonts w:ascii="Arial" w:hAnsi="Arial"/>
          <w:b/>
          <w:sz w:val="24"/>
        </w:rPr>
        <w:t>3 INTERAÇÃO COM A ORGANIZAÇÃO</w:t>
      </w:r>
    </w:p>
    <w:p>
      <w:pPr>
        <w:jc w:val="both"/>
      </w:pPr>
      <w:r>
        <w:rPr>
          <w:rFonts w:ascii="Arial" w:hAnsi="Arial"/>
          <w:b w:val="0"/>
          <w:sz w:val="24"/>
        </w:rPr>
        <w:t>A primeira interação ocorreu em 29/09/2026, por troca de mensagens de texto via WhatsApp entre o autor do projeto e Luciana (proprietária/gestora da Estrutura Contábil), na qual foi apresentada a proposta do painel e levantada a necessidade descrita na seção anterior; Luciana aprovou o escritório como organização parceira e autorizou a continuidade do projeto. A transcrição completa dessa conversa está arquivada como evidência do projeto. As etapas seguintes — validação dos KPIs junto à organização, apresentação/devolutiva do painel e coleta de feedback — ainda não ocorreram; serão registradas conforme acontecerem, com as respectivas evidências.</w:t>
      </w:r>
    </w:p>
    <w:p>
      <w:pPr>
        <w:pStyle w:val="Heading1"/>
        <w:jc w:val="left"/>
      </w:pPr>
      <w:r>
        <w:rPr>
          <w:rFonts w:ascii="Arial" w:hAnsi="Arial"/>
          <w:b/>
          <w:sz w:val="24"/>
        </w:rPr>
        <w:t>4 OBJETIVOS</w:t>
      </w:r>
    </w:p>
    <w:p>
      <w:pPr>
        <w:jc w:val="both"/>
      </w:pPr>
      <w:r>
        <w:rPr>
          <w:rFonts w:ascii="Arial" w:hAnsi="Arial"/>
          <w:b w:val="0"/>
          <w:sz w:val="24"/>
        </w:rPr>
        <w:t>Geral: transformar os dados abertos de criptoativos da Receita Federal em informação para a decisão da Estrutura Contábil.</w:t>
      </w:r>
    </w:p>
    <w:p>
      <w:pPr>
        <w:jc w:val="both"/>
      </w:pPr>
      <w:r>
        <w:rPr>
          <w:rFonts w:ascii="Arial" w:hAnsi="Arial"/>
          <w:b w:val="0"/>
          <w:sz w:val="24"/>
        </w:rPr>
        <w:t>• Mensurar o volume declarado de criptoativos e sua tendência ao longo do tempo;</w:t>
      </w:r>
    </w:p>
    <w:p>
      <w:pPr>
        <w:jc w:val="both"/>
      </w:pPr>
      <w:r>
        <w:rPr>
          <w:rFonts w:ascii="Arial" w:hAnsi="Arial"/>
          <w:b w:val="0"/>
          <w:sz w:val="24"/>
        </w:rPr>
        <w:t>• Identificar os canais de intermediação e o perfil de quem declara;</w:t>
      </w:r>
    </w:p>
    <w:p>
      <w:pPr>
        <w:jc w:val="both"/>
      </w:pPr>
      <w:r>
        <w:rPr>
          <w:rFonts w:ascii="Arial" w:hAnsi="Arial"/>
          <w:b w:val="0"/>
          <w:sz w:val="24"/>
        </w:rPr>
        <w:t>• Caracterizar o mercado por criptoativo (composição, concentração, ticket médio);</w:t>
      </w:r>
    </w:p>
    <w:p>
      <w:pPr>
        <w:jc w:val="both"/>
      </w:pPr>
      <w:r>
        <w:rPr>
          <w:rFonts w:ascii="Arial" w:hAnsi="Arial"/>
          <w:b w:val="0"/>
          <w:sz w:val="24"/>
        </w:rPr>
        <w:t>• Avaliar a qualidade e as limitações da base de dados;</w:t>
      </w:r>
    </w:p>
    <w:p>
      <w:pPr>
        <w:jc w:val="both"/>
      </w:pPr>
      <w:r>
        <w:rPr>
          <w:rFonts w:ascii="Arial" w:hAnsi="Arial"/>
          <w:b w:val="0"/>
          <w:sz w:val="24"/>
        </w:rPr>
        <w:t>• Entregar um painel interativo e recomendações objetivas para a organização.</w:t>
      </w:r>
    </w:p>
    <w:p>
      <w:pPr>
        <w:pStyle w:val="Heading1"/>
        <w:jc w:val="left"/>
      </w:pPr>
      <w:r>
        <w:rPr>
          <w:rFonts w:ascii="Arial" w:hAnsi="Arial"/>
          <w:b/>
          <w:sz w:val="24"/>
        </w:rPr>
        <w:t>5 BASE DE DADOS</w:t>
      </w:r>
    </w:p>
    <w:p>
      <w:pPr>
        <w:jc w:val="both"/>
      </w:pPr>
      <w:r>
        <w:rPr>
          <w:rFonts w:ascii="Arial" w:hAnsi="Arial"/>
          <w:b w:val="0"/>
          <w:sz w:val="24"/>
        </w:rPr>
        <w:t>Fonte: Receita Federal do Brasil — Criptoativos: Relatório de Dados Abertos e Informações Gerais (planilha criptoativos_dados_abertos_20260826.xls), com base na Instrução Normativa RFB nº 1.888/2019. Natureza: dados públicos e agregados (sem CPF/CNPJ identificáveis), que não exigem autorização de uso. Período: 08/2019 a 06/2026 (83 meses). Abrangência: Brasil, sem recorte por estado ou município.</w:t>
      </w:r>
    </w:p>
    <w:p>
      <w:pPr>
        <w:jc w:val="both"/>
      </w:pPr>
      <w:r>
        <w:rPr>
          <w:rFonts w:ascii="Arial" w:hAnsi="Arial"/>
          <w:b w:val="0"/>
          <w:sz w:val="24"/>
        </w:rPr>
        <w:t>A planilha consolida três tipos de declaração: (1) exchanges domiciliadas no Brasil; (2) pessoas físicas ou jurídicas que usam exchanges no exterior acima de R$ 30 mil por mês; e (3) pessoas físicas ou jurídicas que operam entre si sem exchange (P2P) acima de R$ 30 mil por mês. A base utiliza a informação mais recente da Receita, incluindo declarações extemporâneas e retificadoras — por isso os números podem divergir de versões anteriores da planilha.</w:t>
      </w:r>
    </w:p>
    <w:p>
      <w:pPr>
        <w:jc w:val="both"/>
      </w:pPr>
      <w:r>
        <w:rPr>
          <w:rFonts w:ascii="Arial" w:hAnsi="Arial"/>
          <w:b w:val="0"/>
          <w:sz w:val="24"/>
        </w:rPr>
        <w:t>Tratamentos realizados: localização das quatro tabelas (relatórios) nas abas da planilha; conversão de meses por extenso em datas; conversão e padronização dos tipos numéricos; criação de colunas derivadas (participações percentuais, totais em bilhões, grupos de ativos); e classificação dos criptoativos em quatro grupos (Bitcoin, Ethereum, Stablecoins, Outros ativos) — classificação própria do projeto, já que o campo “criptoativo” é de preenchimento livre na declaração.</w:t>
      </w:r>
    </w:p>
    <w:p>
      <w:pPr>
        <w:jc w:val="both"/>
      </w:pPr>
      <w:r>
        <w:rPr>
          <w:rFonts w:ascii="Arial" w:hAnsi="Arial"/>
          <w:b w:val="0"/>
          <w:sz w:val="24"/>
        </w:rPr>
        <w:t>Validações automáticas: 13 verificações programadas (consistência de somas entre PF, PJ e subtotais; soma de percentuais de gênero; consistência entre valor médio, total e número de operações; ausência de duplicatas, valores negativos ou nulos; continuidade da série mensal; cobertura cruzada entre relatórios), todas com resultado “OK” na última execução do pipeline, com um alerta informativo sobre quebras na série de declarantes únicos (ver seção 8).</w:t>
      </w:r>
    </w:p>
    <w:p>
      <w:pPr>
        <w:jc w:val="both"/>
      </w:pPr>
      <w:r>
        <w:rPr>
          <w:rFonts w:ascii="Arial" w:hAnsi="Arial"/>
          <w:b w:val="0"/>
          <w:sz w:val="24"/>
        </w:rPr>
        <w:t>Limitações: o Relatório 4 (por criptoativo) cobre em média 93% do total do Relatório 1, pois traz apenas compra e venda dos principais ativos; a distinção PF × PJ refere-se a quem declara, não necessariamente ao cliente final das exchanges; a base não permite recorte territorial, por idade, nem distingue compra de venda; os valores estão sujeitos a revisão pela própria Receita Federal.</w:t>
      </w:r>
    </w:p>
    <w:p>
      <w:pPr>
        <w:pStyle w:val="Heading1"/>
        <w:jc w:val="left"/>
      </w:pPr>
      <w:r>
        <w:rPr>
          <w:rFonts w:ascii="Arial" w:hAnsi="Arial"/>
          <w:b/>
          <w:sz w:val="24"/>
        </w:rPr>
        <w:t>6 INDICADORES (KPIS)</w:t>
      </w:r>
    </w:p>
    <w:p>
      <w:pPr>
        <w:jc w:val="both"/>
      </w:pPr>
      <w:r>
        <w:rPr>
          <w:rFonts w:ascii="Arial" w:hAnsi="Arial"/>
          <w:b w:val="0"/>
          <w:sz w:val="24"/>
        </w:rPr>
        <w:t>Cada indicador foi definido a partir da necessidade identificada com a organização parceira (seção 2) e é descrito com fórmula, fonte, justificativa e a decisão que apoia. A tabela 1 apresenta os oito indicadores. É importante destacar uma limitação da base: ela registra volume e número de operações declaradas, não preço ou retorno dos ativos — por isso os indicadores apoiam a conversa sobre tendência de movimentação e popularidade entre os criptoativos, não uma previsão de rentabilidade.</w:t>
      </w:r>
    </w:p>
    <w:p>
      <w:pPr>
        <w:spacing w:line="240" w:lineRule="auto" w:after="120"/>
        <w:jc w:val="left"/>
      </w:pPr>
      <w:r>
        <w:rPr>
          <w:rFonts w:ascii="Arial" w:hAnsi="Arial"/>
          <w:b w:val="0"/>
          <w:sz w:val="20"/>
        </w:rPr>
        <w:t>Tabela 1 — Indicadores-chave (KPIs) e decisão que cada um apoia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835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KPI</w:t>
            </w:r>
          </w:p>
        </w:tc>
        <w:tc>
          <w:tcPr>
            <w:tcW w:type="dxa" w:w="1134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Fonte</w:t>
            </w:r>
          </w:p>
        </w:tc>
        <w:tc>
          <w:tcPr>
            <w:tcW w:type="dxa" w:w="3685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Decisão que apoia</w:t>
            </w:r>
          </w:p>
        </w:tc>
        <w:tc>
          <w:tcPr>
            <w:tcW w:type="dxa" w:w="2551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Cuidado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Volume declarado (mensal, acumulado 12m e variação anual)</w:t>
            </w:r>
          </w:p>
        </w:tc>
        <w:tc>
          <w:tcPr>
            <w:tcW w:type="dxa" w:w="1134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Relatório 1</w:t>
            </w:r>
          </w:p>
        </w:tc>
        <w:tc>
          <w:tcPr>
            <w:tcW w:type="dxa" w:w="368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Contextualizar para os clientes se o mercado de criptoativos está em expansão ou retração</w:t>
            </w:r>
          </w:p>
        </w:tc>
        <w:tc>
          <w:tcPr>
            <w:tcW w:type="dxa" w:w="2551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Valores sujeitos a revisão pela Receita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Participação por canal (exchange BR, exterior, P2P)</w:t>
            </w:r>
          </w:p>
        </w:tc>
        <w:tc>
          <w:tcPr>
            <w:tcW w:type="dxa" w:w="1134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Relatório 1</w:t>
            </w:r>
          </w:p>
        </w:tc>
        <w:tc>
          <w:tcPr>
            <w:tcW w:type="dxa" w:w="368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Orientar clientes sobre canais mais usados e seus impactos na declaração/conformidade</w:t>
            </w:r>
          </w:p>
        </w:tc>
        <w:tc>
          <w:tcPr>
            <w:tcW w:type="dxa" w:w="2551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P2P e exterior só aparecem acima de R$ 30 mil/mês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Perfil do declarante (PF × PJ)</w:t>
            </w:r>
          </w:p>
        </w:tc>
        <w:tc>
          <w:tcPr>
            <w:tcW w:type="dxa" w:w="1134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Relatório 1</w:t>
            </w:r>
          </w:p>
        </w:tc>
        <w:tc>
          <w:tcPr>
            <w:tcW w:type="dxa" w:w="368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Situar o cliente (pessoa física) frente ao perfil predominante de quem declara</w:t>
            </w:r>
          </w:p>
        </w:tc>
        <w:tc>
          <w:tcPr>
            <w:tcW w:type="dxa" w:w="2551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Exclui exchanges BR (sempre PJ)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Declarantes únicos (CPF e CNPJ)</w:t>
            </w:r>
          </w:p>
        </w:tc>
        <w:tc>
          <w:tcPr>
            <w:tcW w:type="dxa" w:w="1134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Relatório 2</w:t>
            </w:r>
          </w:p>
        </w:tc>
        <w:tc>
          <w:tcPr>
            <w:tcW w:type="dxa" w:w="368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Mostrar se o número de investidores (a “massa”) está crescendo ou estagnando</w:t>
            </w:r>
          </w:p>
        </w:tc>
        <w:tc>
          <w:tcPr>
            <w:tcW w:type="dxa" w:w="2551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12 quebras bruscas: ler pela mediana móvel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Participação feminina (% operações, % valor, ticket relativo)</w:t>
            </w:r>
          </w:p>
        </w:tc>
        <w:tc>
          <w:tcPr>
            <w:tcW w:type="dxa" w:w="1134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Relatório 3</w:t>
            </w:r>
          </w:p>
        </w:tc>
        <w:tc>
          <w:tcPr>
            <w:tcW w:type="dxa" w:w="368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Dar contexto de diversidade do público investidor ao orientar clientes</w:t>
            </w:r>
          </w:p>
        </w:tc>
        <w:tc>
          <w:tcPr>
            <w:tcW w:type="dxa" w:w="2551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Só pessoas físicas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Composição por grupo de ativo</w:t>
            </w:r>
          </w:p>
        </w:tc>
        <w:tc>
          <w:tcPr>
            <w:tcW w:type="dxa" w:w="1134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Relatório 4</w:t>
            </w:r>
          </w:p>
        </w:tc>
        <w:tc>
          <w:tcPr>
            <w:tcW w:type="dxa" w:w="368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Indicar quais criptoativos vêm ganhando participação — a tendência que a organização quer acompanhar</w:t>
            </w:r>
          </w:p>
        </w:tc>
        <w:tc>
          <w:tcPr>
            <w:tcW w:type="dxa" w:w="2551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Classificação é premissa do projeto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Concentração de mercado (Top-5 e índice HHI)</w:t>
            </w:r>
          </w:p>
        </w:tc>
        <w:tc>
          <w:tcPr>
            <w:tcW w:type="dxa" w:w="1134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Relatório 4</w:t>
            </w:r>
          </w:p>
        </w:tc>
        <w:tc>
          <w:tcPr>
            <w:tcW w:type="dxa" w:w="368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Alertar clientes sobre concentração/diversificação ao decidir entre ativos</w:t>
            </w:r>
          </w:p>
        </w:tc>
        <w:tc>
          <w:tcPr>
            <w:tcW w:type="dxa" w:w="2551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Relatório 4 cobre só parte do Relatório 1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Ticket médio por grupo de ativo</w:t>
            </w:r>
          </w:p>
        </w:tc>
        <w:tc>
          <w:tcPr>
            <w:tcW w:type="dxa" w:w="1134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Relatório 4</w:t>
            </w:r>
          </w:p>
        </w:tc>
        <w:tc>
          <w:tcPr>
            <w:tcW w:type="dxa" w:w="368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Ajudar a situar o porte típico de operação por ativo ao conversar com o cliente</w:t>
            </w:r>
          </w:p>
        </w:tc>
        <w:tc>
          <w:tcPr>
            <w:tcW w:type="dxa" w:w="2551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Sensível a automação (bots)</w:t>
            </w:r>
          </w:p>
        </w:tc>
      </w:tr>
    </w:tbl>
    <w:p>
      <w:pPr>
        <w:jc w:val="both"/>
      </w:pPr>
    </w:p>
    <w:p>
      <w:pPr>
        <w:pStyle w:val="Heading1"/>
        <w:jc w:val="left"/>
      </w:pPr>
      <w:r>
        <w:rPr>
          <w:rFonts w:ascii="Arial" w:hAnsi="Arial"/>
          <w:b/>
          <w:sz w:val="24"/>
        </w:rPr>
        <w:t>7 VISUALIZAÇÕES E JUSTIFICATIVAS</w:t>
      </w:r>
    </w:p>
    <w:p>
      <w:pPr>
        <w:jc w:val="both"/>
      </w:pPr>
      <w:r>
        <w:rPr>
          <w:rFonts w:ascii="Arial" w:hAnsi="Arial"/>
          <w:b w:val="0"/>
          <w:sz w:val="24"/>
        </w:rPr>
        <w:t>A escolha de cada gráfico seguiu princípios de hierarquia visual, redução de ruído, consistência e acessibilidade, detalhados na tabela 2.</w:t>
      </w:r>
    </w:p>
    <w:p>
      <w:pPr>
        <w:spacing w:line="240" w:lineRule="auto" w:after="120"/>
        <w:jc w:val="left"/>
      </w:pPr>
      <w:r>
        <w:rPr>
          <w:rFonts w:ascii="Arial" w:hAnsi="Arial"/>
          <w:b w:val="0"/>
          <w:sz w:val="20"/>
        </w:rPr>
        <w:t>Tabela 2 — Justificativa das visualizações utilizadas no painel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Pergunta</w:t>
            </w:r>
          </w:p>
        </w:tc>
        <w:tc>
          <w:tcPr>
            <w:tcW w:type="dxa" w:w="2835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Gráfico</w:t>
            </w:r>
          </w:p>
        </w:tc>
        <w:tc>
          <w:tcPr>
            <w:tcW w:type="dxa" w:w="3402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Por que este gráfico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 mercado cresce?</w:t>
            </w:r>
          </w:p>
        </w:tc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Barras (mês) + linha (média móvel 12m)</w:t>
            </w:r>
          </w:p>
        </w:tc>
        <w:tc>
          <w:tcPr>
            <w:tcW w:type="dxa" w:w="340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Barras mostram cada mês; a linha revela a tendência sem o ruído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Por onde passam as operações?</w:t>
            </w:r>
          </w:p>
        </w:tc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Área empilhada (100% ou R$)</w:t>
            </w:r>
          </w:p>
        </w:tc>
        <w:tc>
          <w:tcPr>
            <w:tcW w:type="dxa" w:w="340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Mostra composição e sua mudança ao longo do tempo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PF ou PJ?</w:t>
            </w:r>
          </w:p>
        </w:tc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Duas linhas</w:t>
            </w:r>
          </w:p>
        </w:tc>
        <w:tc>
          <w:tcPr>
            <w:tcW w:type="dxa" w:w="340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Compara duas séries na mesma unidade (%)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Quantos declarantes?</w:t>
            </w:r>
          </w:p>
        </w:tc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Dois painéis (CPF e CNPJ) com marcadores nas quebras</w:t>
            </w:r>
          </w:p>
        </w:tc>
        <w:tc>
          <w:tcPr>
            <w:tcW w:type="dxa" w:w="340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Escalas muito diferentes; eixo duplo induziria erro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 que se negocia?</w:t>
            </w:r>
          </w:p>
        </w:tc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Área 100% empilhada por grupo</w:t>
            </w:r>
          </w:p>
        </w:tc>
        <w:tc>
          <w:tcPr>
            <w:tcW w:type="dxa" w:w="340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Composição ao longo do tempo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Quais ativos lideram?</w:t>
            </w:r>
          </w:p>
        </w:tc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Barras horizontais ordenadas</w:t>
            </w:r>
          </w:p>
        </w:tc>
        <w:tc>
          <w:tcPr>
            <w:tcW w:type="dxa" w:w="340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Comparação entre categorias com rótulos legíveis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Mulheres participam quanto?</w:t>
            </w:r>
          </w:p>
        </w:tc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Duas linhas (operações x valor)</w:t>
            </w:r>
          </w:p>
        </w:tc>
        <w:tc>
          <w:tcPr>
            <w:tcW w:type="dxa" w:w="340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Contraste entre frequência e valor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Ticket médio</w:t>
            </w:r>
          </w:p>
        </w:tc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Linhas em escala logarítmica</w:t>
            </w:r>
          </w:p>
        </w:tc>
        <w:tc>
          <w:tcPr>
            <w:tcW w:type="dxa" w:w="3402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Grupos com tickets em ordens de grandeza diferentes</w:t>
            </w:r>
          </w:p>
        </w:tc>
      </w:tr>
    </w:tbl>
    <w:p>
      <w:pPr>
        <w:jc w:val="both"/>
      </w:pPr>
    </w:p>
    <w:p>
      <w:pPr>
        <w:jc w:val="both"/>
      </w:pPr>
      <w:r>
        <w:rPr>
          <w:rFonts w:ascii="Arial" w:hAnsi="Arial"/>
          <w:b w:val="0"/>
          <w:sz w:val="24"/>
        </w:rPr>
        <w:t>Acessibilidade: paleta Okabe-Ito (segura para daltonismo), contraste alto em fundo branco, redundância de codificação (linha tracejada e marcadores além da cor), formatação numérica no padrão brasileiro e fonte da base citada em cada gráfico. Consistência: uma única função-base define fonte, margens, grade e legenda em todos os gráficos; cada grupo ou canal mantém a mesma cor em todo o painel.</w:t>
      </w:r>
    </w:p>
    <w:p>
      <w:pPr>
        <w:pStyle w:val="Heading1"/>
        <w:jc w:val="left"/>
      </w:pPr>
      <w:r>
        <w:rPr>
          <w:rFonts w:ascii="Arial" w:hAnsi="Arial"/>
          <w:b/>
          <w:sz w:val="24"/>
        </w:rPr>
        <w:t>8 PRINCIPAIS ANÁLISES</w:t>
      </w:r>
    </w:p>
    <w:p>
      <w:pPr>
        <w:jc w:val="both"/>
      </w:pPr>
      <w:r>
        <w:rPr>
          <w:rFonts w:ascii="Arial" w:hAnsi="Arial"/>
          <w:b w:val="0"/>
          <w:sz w:val="24"/>
        </w:rPr>
        <w:t>As análises a seguir foram geradas automaticamente pelo pipeline do projeto a partir da base processada (ver achados_gerados.md no repositório do projeto):</w:t>
      </w:r>
    </w:p>
    <w:p>
      <w:pPr>
        <w:spacing w:after="40"/>
        <w:jc w:val="both"/>
      </w:pPr>
      <w:r>
        <w:rPr>
          <w:rFonts w:ascii="Arial" w:hAnsi="Arial"/>
          <w:b/>
          <w:sz w:val="24"/>
        </w:rPr>
        <w:t>1. O volume declarado continua em expansão.</w:t>
      </w:r>
    </w:p>
    <w:p>
      <w:pPr>
        <w:jc w:val="both"/>
      </w:pPr>
      <w:r>
        <w:rPr>
          <w:rFonts w:ascii="Arial" w:hAnsi="Arial"/>
          <w:b w:val="0"/>
          <w:sz w:val="24"/>
        </w:rPr>
        <w:t>Nos 12 meses até 06/2026, foram declarados R$ 559,8 bilhões em operações com criptoativos, 21,6% acima dos 12 meses anteriores. O maior mês da série foi 05/2026, com R$ 58,1 bilhões.</w:t>
      </w:r>
    </w:p>
    <w:p>
      <w:pPr>
        <w:spacing w:after="40"/>
        <w:jc w:val="both"/>
      </w:pPr>
      <w:r>
        <w:rPr>
          <w:rFonts w:ascii="Arial" w:hAnsi="Arial"/>
          <w:b/>
          <w:sz w:val="24"/>
        </w:rPr>
        <w:t>2. As stablecoins viraram o centro do mercado.</w:t>
      </w:r>
    </w:p>
    <w:p>
      <w:pPr>
        <w:jc w:val="both"/>
      </w:pPr>
      <w:r>
        <w:rPr>
          <w:rFonts w:ascii="Arial" w:hAnsi="Arial"/>
          <w:b w:val="0"/>
          <w:sz w:val="24"/>
        </w:rPr>
        <w:t>Nos últimos 12 meses, stablecoins somam 87,0% do valor negociado nos principais ativos (eram 10,6% nos 12 primeiros meses da série), enquanto o Bitcoin caiu de 57,3% para 7,3%. O USDT sozinho responde por 74,1% do valor.</w:t>
      </w:r>
    </w:p>
    <w:p>
      <w:pPr>
        <w:spacing w:after="40"/>
        <w:jc w:val="both"/>
      </w:pPr>
      <w:r>
        <w:rPr>
          <w:rFonts w:ascii="Arial" w:hAnsi="Arial"/>
          <w:b/>
          <w:sz w:val="24"/>
        </w:rPr>
        <w:t>3. Mercado altamente concentrado em poucos ativos.</w:t>
      </w:r>
    </w:p>
    <w:p>
      <w:pPr>
        <w:jc w:val="both"/>
      </w:pPr>
      <w:r>
        <w:rPr>
          <w:rFonts w:ascii="Arial" w:hAnsi="Arial"/>
          <w:b w:val="0"/>
          <w:sz w:val="24"/>
        </w:rPr>
        <w:t>Em 06/2026, os 5 maiores ativos concentram 98,9% do valor (índice HHI de 5.061 em 10.000).</w:t>
      </w:r>
    </w:p>
    <w:p>
      <w:pPr>
        <w:spacing w:after="40"/>
        <w:jc w:val="both"/>
      </w:pPr>
      <w:r>
        <w:rPr>
          <w:rFonts w:ascii="Arial" w:hAnsi="Arial"/>
          <w:b/>
          <w:sz w:val="24"/>
        </w:rPr>
        <w:t>4. Exchanges no Brasil seguem à frente, mas o peso dos canais mudou.</w:t>
      </w:r>
    </w:p>
    <w:p>
      <w:pPr>
        <w:jc w:val="both"/>
      </w:pPr>
      <w:r>
        <w:rPr>
          <w:rFonts w:ascii="Arial" w:hAnsi="Arial"/>
          <w:b w:val="0"/>
          <w:sz w:val="24"/>
        </w:rPr>
        <w:t>Nos últimos 12 meses, exchanges no Brasil intermediaram 62,4% do volume, perdendo participação frente aos 12 meses anteriores (69,7%). As operações sem exchange (P2P) passaram de 17,0% para 22,4%.</w:t>
      </w:r>
    </w:p>
    <w:p>
      <w:pPr>
        <w:spacing w:after="40"/>
        <w:jc w:val="both"/>
      </w:pPr>
      <w:r>
        <w:rPr>
          <w:rFonts w:ascii="Arial" w:hAnsi="Arial"/>
          <w:b/>
          <w:sz w:val="24"/>
        </w:rPr>
        <w:t>5. Mulheres participam mais em número de operações do que em valor.</w:t>
      </w:r>
    </w:p>
    <w:p>
      <w:pPr>
        <w:jc w:val="both"/>
      </w:pPr>
      <w:r>
        <w:rPr>
          <w:rFonts w:ascii="Arial" w:hAnsi="Arial"/>
          <w:b w:val="0"/>
          <w:sz w:val="24"/>
        </w:rPr>
        <w:t>Nos últimos 12 meses, mulheres responderam em média por 29,7% das operações e 14,0% do valor; o ticket médio feminino equivale a cerca de 39% do masculino.</w:t>
      </w:r>
    </w:p>
    <w:p>
      <w:pPr>
        <w:spacing w:after="40"/>
        <w:jc w:val="both"/>
      </w:pPr>
      <w:r>
        <w:rPr>
          <w:rFonts w:ascii="Arial" w:hAnsi="Arial"/>
          <w:b/>
          <w:sz w:val="24"/>
        </w:rPr>
        <w:t>6. Os indicadores de declarantes únicos exigem cautela.</w:t>
      </w:r>
    </w:p>
    <w:p>
      <w:pPr>
        <w:jc w:val="both"/>
      </w:pPr>
      <w:r>
        <w:rPr>
          <w:rFonts w:ascii="Arial" w:hAnsi="Arial"/>
          <w:b w:val="0"/>
          <w:sz w:val="24"/>
        </w:rPr>
        <w:t>A série de CPF/CNPJ únicos tem 12 quebras bruscas entre meses consecutivos, que não parecem refletir mudança real de comportamento — possivelmente efeito de declarações extemporâneas e retificadoras. O painel usa mediana móvel e destaca esses meses.</w:t>
      </w:r>
    </w:p>
    <w:p>
      <w:pPr>
        <w:pStyle w:val="Heading1"/>
        <w:jc w:val="left"/>
      </w:pPr>
      <w:r>
        <w:rPr>
          <w:rFonts w:ascii="Arial" w:hAnsi="Arial"/>
          <w:b/>
          <w:sz w:val="24"/>
        </w:rPr>
        <w:t>9 NARRATIVA (DATA STORYTELLING)</w:t>
      </w:r>
    </w:p>
    <w:p>
      <w:pPr>
        <w:jc w:val="both"/>
      </w:pPr>
      <w:r>
        <w:rPr>
          <w:rFonts w:ascii="Arial" w:hAnsi="Arial"/>
          <w:b w:val="0"/>
          <w:sz w:val="24"/>
        </w:rPr>
        <w:t>O painel e este relatório seguem a estrutura contexto → problema → achados → recomendação, distribuída em seis abas: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Etapa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Aba do painel</w:t>
            </w:r>
          </w:p>
        </w:tc>
        <w:tc>
          <w:tcPr>
            <w:tcW w:type="dxa" w:w="4535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Mensagem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1. Contexto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Panorama</w:t>
            </w:r>
          </w:p>
        </w:tc>
        <w:tc>
          <w:tcPr>
            <w:tcW w:type="dxa" w:w="45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 que é esta base e por que importa para a Estrutura Contábil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2. Tensão/problema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Canais e perfil</w:t>
            </w:r>
          </w:p>
        </w:tc>
        <w:tc>
          <w:tcPr>
            <w:tcW w:type="dxa" w:w="45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Por onde o dinheiro circula e quem participa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3. Descoberta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Mercado por ativo</w:t>
            </w:r>
          </w:p>
        </w:tc>
        <w:tc>
          <w:tcPr>
            <w:tcW w:type="dxa" w:w="45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 mercado mudou de Bitcoin para stablecoins e ficou concentrado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4. Nuances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Gênero / Qualidade</w:t>
            </w:r>
          </w:p>
        </w:tc>
        <w:tc>
          <w:tcPr>
            <w:tcW w:type="dxa" w:w="45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Quem participa e o que exige cautela nos números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5. Resolução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Conclusões</w:t>
            </w:r>
          </w:p>
        </w:tc>
        <w:tc>
          <w:tcPr>
            <w:tcW w:type="dxa" w:w="4535"/>
          </w:tcPr>
          <w:p>
            <w:pPr>
              <w:spacing w:line="240" w:lineRule="auto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 que a organização pode fazer com isso</w:t>
            </w:r>
          </w:p>
        </w:tc>
      </w:tr>
    </w:tbl>
    <w:p>
      <w:pPr>
        <w:jc w:val="both"/>
      </w:pPr>
    </w:p>
    <w:p>
      <w:pPr>
        <w:pStyle w:val="Heading1"/>
        <w:jc w:val="left"/>
      </w:pPr>
      <w:r>
        <w:rPr>
          <w:rFonts w:ascii="Arial" w:hAnsi="Arial"/>
          <w:b/>
          <w:sz w:val="24"/>
        </w:rPr>
        <w:t>10 RESULTADOS E CONTRIBUIÇÕES PARA A ORGANIZAÇÃO</w:t>
      </w:r>
    </w:p>
    <w:p>
      <w:pPr>
        <w:jc w:val="both"/>
      </w:pPr>
      <w:r>
        <w:rPr>
          <w:rFonts w:ascii="Arial" w:hAnsi="Arial"/>
          <w:b w:val="0"/>
          <w:sz w:val="24"/>
        </w:rPr>
        <w:t>Pendente de devolutiva: a apresentação final do painel à organização e a coleta de feedback ainda não ocorreram; esta seção será concluída após esse encontro.</w:t>
      </w:r>
    </w:p>
    <w:p>
      <w:pPr>
        <w:jc w:val="both"/>
      </w:pPr>
      <w:r>
        <w:rPr>
          <w:rFonts w:ascii="Arial" w:hAnsi="Arial"/>
          <w:b w:val="0"/>
          <w:sz w:val="24"/>
        </w:rPr>
        <w:t>De forma preliminar, com base na necessidade identificada, espera-se que o painel contribua ao oferecer à Estrutura Contábil:</w:t>
      </w:r>
    </w:p>
    <w:p>
      <w:pPr>
        <w:jc w:val="both"/>
      </w:pPr>
      <w:r>
        <w:rPr>
          <w:rFonts w:ascii="Arial" w:hAnsi="Arial"/>
          <w:b w:val="0"/>
          <w:sz w:val="24"/>
        </w:rPr>
        <w:t>• uma visão objetiva de quais criptoativos vêm ganhando participação no mercado declarado à Receita (achados 2 e 3), apoiando a conversa sobre tendências de investimento da “massa”;</w:t>
      </w:r>
    </w:p>
    <w:p>
      <w:pPr>
        <w:jc w:val="both"/>
      </w:pPr>
      <w:r>
        <w:rPr>
          <w:rFonts w:ascii="Arial" w:hAnsi="Arial"/>
          <w:b w:val="0"/>
          <w:sz w:val="24"/>
        </w:rPr>
        <w:t>• um indicador de concentração e diversificação do mercado (achado 3), útil para alertar clientes sobre o risco de concentrar investimentos em poucos ativos;</w:t>
      </w:r>
    </w:p>
    <w:p>
      <w:pPr>
        <w:jc w:val="both"/>
      </w:pPr>
      <w:r>
        <w:rPr>
          <w:rFonts w:ascii="Arial" w:hAnsi="Arial"/>
          <w:b w:val="0"/>
          <w:sz w:val="24"/>
        </w:rPr>
        <w:t>• contexto sobre canais de intermediação (achado 4), relevante para orientar clientes sobre conformidade na declaração.</w:t>
      </w:r>
    </w:p>
    <w:p>
      <w:pPr>
        <w:pStyle w:val="Heading1"/>
        <w:jc w:val="left"/>
      </w:pPr>
      <w:r>
        <w:rPr>
          <w:rFonts w:ascii="Arial" w:hAnsi="Arial"/>
          <w:b/>
          <w:sz w:val="24"/>
        </w:rPr>
        <w:t>11 CONCLUSÕES E RECOMENDAÇÕES</w:t>
      </w:r>
    </w:p>
    <w:p>
      <w:pPr>
        <w:jc w:val="both"/>
      </w:pPr>
      <w:r>
        <w:rPr>
          <w:rFonts w:ascii="Arial" w:hAnsi="Arial"/>
          <w:b w:val="0"/>
          <w:sz w:val="24"/>
        </w:rPr>
        <w:t>A partir da base de dados aberta da Receita Federal (08/2019–06/2026), os seis achados apresentados na seção 8 sintetizam o comportamento do mercado de criptoativos no período: expansão do volume, domínio crescente das stablecoins, alta concentração em poucos ativos, mudança no peso dos canais de intermediação, menor participação feminina em valor do que em número de operações, e a necessidade de cautela na leitura dos indicadores de declarantes únicos.</w:t>
      </w:r>
    </w:p>
    <w:p>
      <w:pPr>
        <w:jc w:val="both"/>
      </w:pPr>
      <w:r>
        <w:rPr>
          <w:rFonts w:ascii="Arial" w:hAnsi="Arial"/>
          <w:b w:val="0"/>
          <w:sz w:val="24"/>
        </w:rPr>
        <w:t>Recomendação para a organização: usar o painel como apoio visual nas conversas com clientes sobre tendência e popularidade de mercado, deixando claro que os dados mostram volume e participação declarados — não rentabilidade ou previsão de preço, que exigiria outra fonte de dados (a base da Receita não contém cotações).</w:t>
      </w:r>
    </w:p>
    <w:p>
      <w:pPr>
        <w:jc w:val="both"/>
      </w:pPr>
      <w:r>
        <w:rPr>
          <w:rFonts w:ascii="Arial" w:hAnsi="Arial"/>
          <w:b w:val="0"/>
          <w:sz w:val="24"/>
        </w:rPr>
        <w:t>Limitações: dados nacionais e agregados (sem recorte por estado ou cliente); valores sujeitos a revisão pela própria Receita; a classificação de stablecoins é uma premissa do projeto, não um critério oficial da Receita; o Relatório 4 cobre em média 93% do total do Relatório 1.</w:t>
      </w:r>
    </w:p>
    <w:p>
      <w:pPr>
        <w:jc w:val="both"/>
      </w:pPr>
      <w:r>
        <w:rPr>
          <w:rFonts w:ascii="Arial" w:hAnsi="Arial"/>
          <w:b w:val="0"/>
          <w:sz w:val="24"/>
        </w:rPr>
        <w:t>Trabalhos futuros: recorte territorial, caso a organização priorize clientes de uma região específica; atualização mensal da base conforme novos dados forem publicados pela Receita; incorporar dados de preço/mercado (fonte externa) caso a organização queira, no futuro, discutir rentabilidade e não apenas volume.</w:t>
      </w:r>
    </w:p>
    <w:p>
      <w:pPr>
        <w:pStyle w:val="Heading1"/>
        <w:jc w:val="left"/>
      </w:pPr>
      <w:r>
        <w:rPr>
          <w:rFonts w:ascii="Arial" w:hAnsi="Arial"/>
          <w:b/>
          <w:sz w:val="24"/>
        </w:rPr>
        <w:t>REFERÊNCIAS</w:t>
      </w:r>
    </w:p>
    <w:p>
      <w:pPr>
        <w:spacing w:line="240" w:lineRule="auto" w:after="240"/>
        <w:ind w:left="0"/>
      </w:pPr>
      <w:r>
        <w:rPr>
          <w:rFonts w:ascii="Arial" w:hAnsi="Arial"/>
          <w:sz w:val="24"/>
        </w:rPr>
        <w:t>BRASIL. Receita Federal. Instrução Normativa RFB nº 1.888, de 3 de maio de 2019. Institui e disciplina a obrigatoriedade de prestação de informações relativas às operações realizadas com criptoativos à Secretaria Especial da Receita Federal do Brasil (RFB). Diário Oficial da União, Brasília, DF, 2019.</w:t>
      </w:r>
    </w:p>
    <w:p>
      <w:pPr>
        <w:spacing w:line="240" w:lineRule="auto" w:after="240"/>
        <w:ind w:left="0"/>
      </w:pPr>
      <w:r>
        <w:rPr>
          <w:rFonts w:ascii="Arial" w:hAnsi="Arial"/>
          <w:sz w:val="24"/>
        </w:rPr>
        <w:t>BRASIL. Receita Federal do Brasil. Criptoativos: Relatório de Dados Abertos e Informações Gerais. Versão de 26 ago. 2026. Arquivo: criptoativos_dados_abertos_20260826.xls.</w:t>
      </w:r>
    </w:p>
    <w:p>
      <w:pPr>
        <w:spacing w:line="240" w:lineRule="auto" w:after="240"/>
        <w:ind w:left="0"/>
      </w:pPr>
      <w:r>
        <w:rPr>
          <w:rFonts w:ascii="Arial" w:hAnsi="Arial"/>
          <w:sz w:val="24"/>
        </w:rPr>
        <w:t>TERCEIROS, Hielko Hayne. Projeto Integrador Extensionista — Painel de criptoativos: repositório de código-fonte. Goiânia, 2026. Disponível em: https://github.com/hielko55/projeto_integrador_cripto.</w:t>
      </w:r>
    </w:p>
    <w:p>
      <w:pPr>
        <w:pStyle w:val="Heading1"/>
        <w:jc w:val="left"/>
      </w:pPr>
      <w:r>
        <w:rPr>
          <w:rFonts w:ascii="Arial" w:hAnsi="Arial"/>
          <w:b/>
          <w:sz w:val="24"/>
        </w:rPr>
        <w:t>APÊNDICE A — REPRODUTIBILIDADE</w:t>
      </w:r>
    </w:p>
    <w:p>
      <w:pPr>
        <w:jc w:val="both"/>
      </w:pPr>
      <w:r>
        <w:rPr>
          <w:rFonts w:ascii="Arial" w:hAnsi="Arial"/>
          <w:b w:val="0"/>
          <w:sz w:val="24"/>
        </w:rPr>
        <w:t xml:space="preserve">Painel publicado: </w:t>
      </w:r>
      <w:hyperlink r:id="rId10">
        <w:r>
          <w:rPr>
            <w:rFonts w:ascii="Arial" w:hAnsi="Arial"/>
            <w:color w:val="0000FF"/>
            <w:u w:val="single"/>
          </w:rPr>
          <w:t>https://projetointegradorcripto-ny8jdxyeju9jnj9cjaw2ak.streamlit.app/</w:t>
        </w:r>
      </w:hyperlink>
    </w:p>
    <w:p>
      <w:pPr>
        <w:jc w:val="both"/>
      </w:pPr>
      <w:r>
        <w:rPr>
          <w:rFonts w:ascii="Arial" w:hAnsi="Arial"/>
          <w:b w:val="0"/>
          <w:sz w:val="24"/>
        </w:rPr>
        <w:t xml:space="preserve">Repositório de código: </w:t>
      </w:r>
      <w:hyperlink r:id="rId11">
        <w:r>
          <w:rPr>
            <w:rFonts w:ascii="Arial" w:hAnsi="Arial"/>
            <w:color w:val="0000FF"/>
            <w:u w:val="single"/>
          </w:rPr>
          <w:t>https://github.com/hielko55/projeto_integrador_cripto</w:t>
        </w:r>
      </w:hyperlink>
    </w:p>
    <w:p>
      <w:pPr>
        <w:jc w:val="both"/>
      </w:pPr>
      <w:r>
        <w:rPr>
          <w:rFonts w:ascii="Arial" w:hAnsi="Arial"/>
          <w:b w:val="0"/>
          <w:sz w:val="24"/>
        </w:rPr>
        <w:t>Para executar localmente:</w:t>
      </w:r>
    </w:p>
    <w:p>
      <w:pPr>
        <w:spacing w:line="240" w:lineRule="auto"/>
        <w:jc w:val="left"/>
      </w:pPr>
      <w:r>
        <w:rPr>
          <w:rFonts w:ascii="Consolas" w:hAnsi="Consolas"/>
          <w:b w:val="0"/>
          <w:sz w:val="24"/>
        </w:rPr>
        <w:t>pip install -r requirements.txt</w:t>
      </w:r>
    </w:p>
    <w:p>
      <w:pPr>
        <w:spacing w:line="240" w:lineRule="auto"/>
        <w:jc w:val="left"/>
      </w:pPr>
      <w:r>
        <w:rPr>
          <w:rFonts w:ascii="Consolas" w:hAnsi="Consolas"/>
          <w:b w:val="0"/>
          <w:sz w:val="24"/>
        </w:rPr>
        <w:t>python -m src.pipeline</w:t>
      </w:r>
    </w:p>
    <w:p>
      <w:pPr>
        <w:spacing w:line="240" w:lineRule="auto"/>
        <w:jc w:val="left"/>
      </w:pPr>
      <w:r>
        <w:rPr>
          <w:rFonts w:ascii="Consolas" w:hAnsi="Consolas"/>
          <w:b w:val="0"/>
          <w:sz w:val="24"/>
        </w:rPr>
        <w:t>streamlit run app/dashboard.py</w:t>
      </w:r>
    </w:p>
    <w:p>
      <w:pPr>
        <w:spacing w:line="240" w:lineRule="auto"/>
        <w:jc w:val="left"/>
      </w:pPr>
      <w:r>
        <w:rPr>
          <w:rFonts w:ascii="Consolas" w:hAnsi="Consolas"/>
          <w:b w:val="0"/>
          <w:sz w:val="24"/>
        </w:rPr>
        <w:t>pytest -q</w:t>
      </w:r>
    </w:p>
    <w:sectPr w:rsidR="00FC693F" w:rsidRPr="0006063C" w:rsidSect="00034616">
      <w:headerReference w:type="default" r:id="rId9"/>
      <w:pgSz w:w="11906" w:h="16838"/>
      <w:pgMar w:top="1701" w:right="1134" w:bottom="1134" w:left="1701" w:header="720" w:footer="720" w:gutter="0"/>
      <w:cols w:space="720"/>
      <w:docGrid w:linePitch="360"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projetointegradorcripto-ny8jdxyeju9jnj9cjaw2ak.streamlit.app/" TargetMode="External"/><Relationship Id="rId11" Type="http://schemas.openxmlformats.org/officeDocument/2006/relationships/hyperlink" Target="https://github.com/hielko55/projeto_integrador_crip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