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FF6200"/>
          <w:sz w:val="76"/>
        </w:rPr>
        <w:t>QualityGate AI</w:t>
      </w:r>
    </w:p>
    <w:p>
      <w:pPr>
        <w:jc w:val="center"/>
      </w:pPr>
      <w:r>
        <w:rPr>
          <w:color w:val="1A1A1A"/>
          <w:sz w:val="36"/>
        </w:rPr>
        <w:t>Vorstellung der Lösung für die ING Bank</w:t>
      </w:r>
    </w:p>
    <w:p>
      <w:pPr>
        <w:jc w:val="center"/>
      </w:pPr>
      <w:r>
        <w:rPr>
          <w:i/>
          <w:color w:val="595959"/>
          <w:sz w:val="25"/>
        </w:rPr>
        <w:t>KI-gestützte Anforderungs- und Testfall-Qualität</w:t>
        <w:br/>
        <w:t>direkt in Azure Boards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20"/>
              </w:rPr>
              <w:t>Dokumenttyp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Vollständige Lösungs- und Deployment-Dokumentation (A–Z)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20"/>
              </w:rPr>
              <w:t>Zielgruppe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Testmanagement, Management, ING-Fachbereich &amp; Security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20"/>
              </w:rPr>
              <w:t>Umfang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Überblick · Deployment · Datenschutz · Kosten · Zeitplan · Security · FAQ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20"/>
              </w:rPr>
              <w:t>Stand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08.07.2026</w:t>
            </w:r>
          </w:p>
        </w:tc>
      </w:tr>
    </w:tbl>
    <w:p>
      <w:r>
        <w:br w:type="page"/>
      </w:r>
    </w:p>
    <w:p>
      <w:pPr>
        <w:pStyle w:val="Heading1"/>
      </w:pPr>
      <w:r>
        <w:t>Inhalt</w:t>
      </w:r>
    </w:p>
    <w:p>
      <w:pPr>
        <w:spacing w:after="60"/>
      </w:pPr>
      <w:r>
        <w:rPr>
          <w:b/>
          <w:color w:val="FF6200"/>
          <w:sz w:val="21"/>
        </w:rPr>
        <w:t xml:space="preserve">1.  </w:t>
      </w:r>
      <w:r>
        <w:rPr>
          <w:sz w:val="21"/>
        </w:rPr>
        <w:t>Executive Summary – das Wichtigste in Kürze</w:t>
      </w:r>
    </w:p>
    <w:p>
      <w:pPr>
        <w:spacing w:after="60"/>
      </w:pPr>
      <w:r>
        <w:rPr>
          <w:b/>
          <w:color w:val="FF6200"/>
          <w:sz w:val="21"/>
        </w:rPr>
        <w:t xml:space="preserve">2.  </w:t>
      </w:r>
      <w:r>
        <w:rPr>
          <w:sz w:val="21"/>
        </w:rPr>
        <w:t>Was QualityGate AI macht (Funktionsüberblick)</w:t>
      </w:r>
    </w:p>
    <w:p>
      <w:pPr>
        <w:spacing w:after="60"/>
      </w:pPr>
      <w:r>
        <w:rPr>
          <w:b/>
          <w:color w:val="FF6200"/>
          <w:sz w:val="21"/>
        </w:rPr>
        <w:t xml:space="preserve">3.  </w:t>
      </w:r>
      <w:r>
        <w:rPr>
          <w:sz w:val="21"/>
        </w:rPr>
        <w:t>Nutzen speziell für das Testmanagement</w:t>
      </w:r>
    </w:p>
    <w:p>
      <w:pPr>
        <w:spacing w:after="60"/>
      </w:pPr>
      <w:r>
        <w:rPr>
          <w:b/>
          <w:color w:val="FF6200"/>
          <w:sz w:val="21"/>
        </w:rPr>
        <w:t xml:space="preserve">4.  </w:t>
      </w:r>
      <w:r>
        <w:rPr>
          <w:sz w:val="21"/>
        </w:rPr>
        <w:t>Architektur – wo läuft was</w:t>
      </w:r>
    </w:p>
    <w:p>
      <w:pPr>
        <w:spacing w:after="60"/>
      </w:pPr>
      <w:r>
        <w:rPr>
          <w:b/>
          <w:color w:val="FF6200"/>
          <w:sz w:val="21"/>
        </w:rPr>
        <w:t xml:space="preserve">5.  </w:t>
      </w:r>
      <w:r>
        <w:rPr>
          <w:sz w:val="21"/>
        </w:rPr>
        <w:t>Deployment bei der ING</w:t>
      </w:r>
    </w:p>
    <w:p>
      <w:pPr>
        <w:spacing w:after="60"/>
      </w:pPr>
      <w:r>
        <w:rPr>
          <w:b/>
          <w:color w:val="FF6200"/>
          <w:sz w:val="21"/>
        </w:rPr>
        <w:t xml:space="preserve">   5.1  </w:t>
      </w:r>
      <w:r>
        <w:rPr>
          <w:sz w:val="21"/>
        </w:rPr>
        <w:t>Voraussetzungen</w:t>
      </w:r>
    </w:p>
    <w:p>
      <w:pPr>
        <w:spacing w:after="60"/>
      </w:pPr>
      <w:r>
        <w:rPr>
          <w:b/>
          <w:color w:val="FF6200"/>
          <w:sz w:val="21"/>
        </w:rPr>
        <w:t xml:space="preserve">   5.2  </w:t>
      </w:r>
      <w:r>
        <w:rPr>
          <w:sz w:val="21"/>
        </w:rPr>
        <w:t>Erste Schritte (Schritt für Schritt)</w:t>
      </w:r>
    </w:p>
    <w:p>
      <w:pPr>
        <w:spacing w:after="60"/>
      </w:pPr>
      <w:r>
        <w:rPr>
          <w:b/>
          <w:color w:val="FF6200"/>
          <w:sz w:val="21"/>
        </w:rPr>
        <w:t xml:space="preserve">   5.3  </w:t>
      </w:r>
      <w:r>
        <w:rPr>
          <w:sz w:val="21"/>
        </w:rPr>
        <w:t>Benötigte Rechte</w:t>
      </w:r>
    </w:p>
    <w:p>
      <w:pPr>
        <w:spacing w:after="60"/>
      </w:pPr>
      <w:r>
        <w:rPr>
          <w:b/>
          <w:color w:val="FF6200"/>
          <w:sz w:val="21"/>
        </w:rPr>
        <w:t xml:space="preserve">6.  </w:t>
      </w:r>
      <w:r>
        <w:rPr>
          <w:sz w:val="21"/>
        </w:rPr>
        <w:t>Datenschutz &amp; Compliance</w:t>
      </w:r>
    </w:p>
    <w:p>
      <w:pPr>
        <w:spacing w:after="60"/>
      </w:pPr>
      <w:r>
        <w:rPr>
          <w:b/>
          <w:color w:val="FF6200"/>
          <w:sz w:val="21"/>
        </w:rPr>
        <w:t xml:space="preserve">7.  </w:t>
      </w:r>
      <w:r>
        <w:rPr>
          <w:sz w:val="21"/>
        </w:rPr>
        <w:t>Kosten</w:t>
      </w:r>
    </w:p>
    <w:p>
      <w:pPr>
        <w:spacing w:after="60"/>
      </w:pPr>
      <w:r>
        <w:rPr>
          <w:b/>
          <w:color w:val="FF6200"/>
          <w:sz w:val="21"/>
        </w:rPr>
        <w:t xml:space="preserve">8.  </w:t>
      </w:r>
      <w:r>
        <w:rPr>
          <w:sz w:val="21"/>
        </w:rPr>
        <w:t>Zeitplan bis zum laufenden Pilot</w:t>
      </w:r>
    </w:p>
    <w:p>
      <w:pPr>
        <w:spacing w:after="60"/>
      </w:pPr>
      <w:r>
        <w:rPr>
          <w:b/>
          <w:color w:val="FF6200"/>
          <w:sz w:val="21"/>
        </w:rPr>
        <w:t xml:space="preserve">9.  </w:t>
      </w:r>
      <w:r>
        <w:rPr>
          <w:sz w:val="21"/>
        </w:rPr>
        <w:t>Quellcode-Ablage</w:t>
      </w:r>
    </w:p>
    <w:p>
      <w:pPr>
        <w:spacing w:after="60"/>
      </w:pPr>
      <w:r>
        <w:rPr>
          <w:b/>
          <w:color w:val="FF6200"/>
          <w:sz w:val="21"/>
        </w:rPr>
        <w:t xml:space="preserve">10.  </w:t>
      </w:r>
      <w:r>
        <w:rPr>
          <w:sz w:val="21"/>
        </w:rPr>
        <w:t>Security-Befund (vollständiger Code-Review)</w:t>
      </w:r>
    </w:p>
    <w:p>
      <w:pPr>
        <w:spacing w:after="60"/>
      </w:pPr>
      <w:r>
        <w:rPr>
          <w:b/>
          <w:color w:val="FF6200"/>
          <w:sz w:val="21"/>
        </w:rPr>
        <w:t xml:space="preserve">11.  </w:t>
      </w:r>
      <w:r>
        <w:rPr>
          <w:sz w:val="21"/>
        </w:rPr>
        <w:t>Erwartbare Fragen der ING – mit Antworten</w:t>
      </w:r>
    </w:p>
    <w:p>
      <w:pPr>
        <w:spacing w:after="60"/>
      </w:pPr>
      <w:r>
        <w:rPr>
          <w:b/>
          <w:color w:val="FF6200"/>
          <w:sz w:val="21"/>
        </w:rPr>
        <w:t xml:space="preserve">12.  </w:t>
      </w:r>
      <w:r>
        <w:rPr>
          <w:sz w:val="21"/>
        </w:rPr>
        <w:t>Empfohlene nächste Schritte</w:t>
      </w:r>
    </w:p>
    <w:p>
      <w:r>
        <w:br w:type="page"/>
      </w:r>
    </w:p>
    <w:p>
      <w:pPr>
        <w:pStyle w:val="Heading1"/>
      </w:pPr>
      <w:r>
        <w:t>1. Executive Summary – das Wichtigste in Kürze</w:t>
      </w:r>
    </w:p>
    <w:p>
      <w:pPr>
        <w:spacing w:after="120"/>
      </w:pPr>
      <w:r>
        <w:rPr>
          <w:b w:val="0"/>
          <w:i w:val="0"/>
          <w:sz w:val="21"/>
        </w:rPr>
        <w:t>QualityGate AI ist eine Azure-DevOps-Extension, die Work Items (User Stories) direkt im Boards-Formular auf Anforderungsqualität prüft: KI-gestützte Analyse von Beschreibung und Akzeptanzkriterien, konkrete Verbesserungsvorschläge, Duplikaterkennung und automatische Testfall-Generierung inklusive Anlage als Azure-Test-Case-Work-Items mit „Tested By“-Verknüpfung.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4EA"/>
          </w:tcPr>
          <w:p>
            <w:pPr>
              <w:spacing w:before="80" w:after="80"/>
            </w:pPr>
            <w:r/>
            <w:r>
              <w:rPr>
                <w:b/>
                <w:color w:val="1B7F37"/>
                <w:sz w:val="20"/>
              </w:rPr>
              <w:t xml:space="preserve">KERNAUSSAGE  </w:t>
            </w:r>
            <w:r>
              <w:rPr>
                <w:sz w:val="20"/>
              </w:rPr>
              <w:t>Für eine Bank besonders relevant: Das Tool erzeugt eine lückenlos nachweisbare Spur von der Anforderung zum Test – genau das, was Audits sehen wollen. Und: Die KI schreibt nie selbstständig, jede Übernahme ist eine bewusste Nutzeraktion mit Audit-Eintrag.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Thema</w:t>
            </w:r>
          </w:p>
        </w:tc>
        <w:tc>
          <w:tcPr>
            <w:tcW w:type="dxa" w:w="7056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Kurzfassung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Wo läuft 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Vollständig im Azure-Tenant der ING – kein externer SaaS, kein Fremd-Betreiber.</w:t>
            </w:r>
          </w:p>
        </w:tc>
      </w:tr>
      <w:tr>
        <w:tc>
          <w:tcPr>
            <w:tcW w:type="dxa" w:w="244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Datenschutz</w:t>
            </w:r>
          </w:p>
        </w:tc>
        <w:tc>
          <w:tcPr>
            <w:tcW w:type="dxa" w:w="705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Nur Work-Item-Texte; Azure OpenAI in EU-Region; kein Modelltraining mit Bank-Daten; keine Daten in die USA.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Kosten (Pilot)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Realistisch ~30–140 €/Monat, überwiegend nutzungsabhängige LLM-Token.</w:t>
            </w:r>
          </w:p>
        </w:tc>
      </w:tr>
      <w:tr>
        <w:tc>
          <w:tcPr>
            <w:tcW w:type="dxa" w:w="244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Zeit bis Pilot</w:t>
            </w:r>
          </w:p>
        </w:tc>
        <w:tc>
          <w:tcPr>
            <w:tcW w:type="dxa" w:w="705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Technisch 2–5 Tage; realistisch 6–10 Wochen inkl. Bank-Genehmigungen.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Sicherheit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Vollständiger Code-Review: keine kritischen Findings; 5 kleine Härtungspunkte vor Go-Live.</w:t>
            </w:r>
          </w:p>
        </w:tc>
      </w:tr>
      <w:tr>
        <w:tc>
          <w:tcPr>
            <w:tcW w:type="dxa" w:w="244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Lizenz</w:t>
            </w:r>
          </w:p>
        </w:tc>
        <w:tc>
          <w:tcPr>
            <w:tcW w:type="dxa" w:w="705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MIT – interne Übernahme, Anpassung und Betrieb uneingeschränkt erlaubt.</w:t>
            </w:r>
          </w:p>
        </w:tc>
      </w:tr>
    </w:tbl>
    <w:p/>
    <w:p>
      <w:pPr>
        <w:pStyle w:val="Heading1"/>
      </w:pPr>
      <w:r>
        <w:t>2. Was QualityGate AI macht (Funktionsüberblick)</w:t>
      </w:r>
    </w:p>
    <w:p>
      <w:pPr>
        <w:spacing w:after="120"/>
      </w:pPr>
      <w:r>
        <w:rPr>
          <w:b w:val="0"/>
          <w:i w:val="0"/>
          <w:sz w:val="21"/>
        </w:rPr>
        <w:t>Die Extension fügt dem Work-Item-Formular in Azure Boards einen zusätzlichen Tab „QualityGate AI“ hinzu. Ohne Kontextwechsel in ein anderes Werkzeug bietet sie vier Kernfunktionen: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Funktion</w:t>
            </w:r>
          </w:p>
        </w:tc>
        <w:tc>
          <w:tcPr>
            <w:tcW w:type="dxa" w:w="4896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Was passiert</w:t>
            </w:r>
          </w:p>
        </w:tc>
        <w:tc>
          <w:tcPr>
            <w:tcW w:type="dxa" w:w="2448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Ergebnis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Qualitätsanalyse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Prüft Beschreibung &amp; Akzeptanzkriterien gegen ein konfigurierbares Regelset (KI-gestützt).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Qualitäts-Score + konkrete Befunde</w:t>
            </w:r>
          </w:p>
        </w:tc>
      </w:tr>
      <w:tr>
        <w:tc>
          <w:tcPr>
            <w:tcW w:type="dxa" w:w="216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Fix-Vorschläge</w:t>
            </w:r>
          </w:p>
        </w:tc>
        <w:tc>
          <w:tcPr>
            <w:tcW w:type="dxa" w:w="489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Erzeugt formulierte Verbesserungen je Befund; Nutzer editiert/übernimmt.</w:t>
            </w:r>
          </w:p>
        </w:tc>
        <w:tc>
          <w:tcPr>
            <w:tcW w:type="dxa" w:w="244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Bessere Anforderung, revisionssicher übernommen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Duplikaterkennung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Findet ähnliche Work Items im Projekt (WIQL-Suche).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Weniger doppelt erfasste Anforderungen</w:t>
            </w:r>
          </w:p>
        </w:tc>
      </w:tr>
      <w:tr>
        <w:tc>
          <w:tcPr>
            <w:tcW w:type="dxa" w:w="216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Testfall-Generierung</w:t>
            </w:r>
          </w:p>
        </w:tc>
        <w:tc>
          <w:tcPr>
            <w:tcW w:type="dxa" w:w="489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Leitet aus den Akzeptanzkriterien Testfälle ab und legt sie als Test-Case-Work-Items an – verlinkt via „Tested By“.</w:t>
            </w:r>
          </w:p>
        </w:tc>
        <w:tc>
          <w:tcPr>
            <w:tcW w:type="dxa" w:w="244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Nachverfolgbare Testabdeckung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pPr>
              <w:spacing w:before="80" w:after="80"/>
            </w:pPr>
            <w:r/>
            <w:r>
              <w:rPr>
                <w:b/>
                <w:color w:val="B46900"/>
                <w:sz w:val="20"/>
              </w:rPr>
              <w:t xml:space="preserve">ABGRENZUNG  </w:t>
            </w:r>
            <w:r>
              <w:rPr>
                <w:sz w:val="20"/>
              </w:rPr>
              <w:t>Wichtig gegenüber Copilot &amp; Co.: Der Kontext (Story mit Akzeptanzkriterien) ist im Work Item schon vorhanden. QualityGate AI arbeitet IM Ticket und schreibt das Ergebnis INS Ticket zurück – kein Copy-Paste, kein Medienbruch.</w:t>
            </w:r>
          </w:p>
        </w:tc>
      </w:tr>
    </w:tbl>
    <w:p/>
    <w:p>
      <w:pPr>
        <w:pStyle w:val="Heading1"/>
      </w:pPr>
      <w:r>
        <w:t>3. Nutzen speziell für das Testmanagement</w:t>
      </w:r>
    </w:p>
    <w:p>
      <w:pPr>
        <w:pStyle w:val="ListBullet"/>
        <w:spacing w:after="60"/>
      </w:pPr>
      <w:r>
        <w:rPr>
          <w:b/>
          <w:sz w:val="21"/>
        </w:rPr>
        <w:t xml:space="preserve">Von der Story zum Testfall: </w:t>
      </w:r>
      <w:r>
        <w:rPr>
          <w:sz w:val="21"/>
        </w:rPr>
        <w:t xml:space="preserve"> Aus jeder User Story entstehen auf Knopfdruck strukturierte Testfälle (Titel, Vorbedingung, Schritte mit erwartetem Ergebnis, Priorität, Herkunfts-Akzeptanzkriterium).</w:t>
      </w:r>
    </w:p>
    <w:p>
      <w:pPr>
        <w:pStyle w:val="ListBullet"/>
        <w:spacing w:after="60"/>
      </w:pPr>
      <w:r>
        <w:rPr>
          <w:b/>
          <w:sz w:val="21"/>
        </w:rPr>
        <w:t xml:space="preserve">Lückenlose Traceability: </w:t>
      </w:r>
      <w:r>
        <w:rPr>
          <w:sz w:val="21"/>
        </w:rPr>
        <w:t xml:space="preserve"> Jeder generierte Test Case wird automatisch über die Beziehung „Tested By“ mit der Story verknüpft und merkt sich, aus welchem Akzeptanzkriterium er stammt.</w:t>
      </w:r>
    </w:p>
    <w:p>
      <w:pPr>
        <w:pStyle w:val="ListBullet"/>
        <w:spacing w:after="60"/>
      </w:pPr>
      <w:r>
        <w:rPr>
          <w:b/>
          <w:sz w:val="21"/>
        </w:rPr>
        <w:t xml:space="preserve">Mensch behält die Kontrolle: </w:t>
      </w:r>
      <w:r>
        <w:rPr>
          <w:sz w:val="21"/>
        </w:rPr>
        <w:t xml:space="preserve"> Der Tester prüft und editiert jeden Vorschlag in einer Vorschau. Generieren und Anlegen sind getrennte Schritte – nichts wird automatisch angelegt.</w:t>
      </w:r>
    </w:p>
    <w:p>
      <w:pPr>
        <w:pStyle w:val="ListBullet"/>
        <w:spacing w:after="60"/>
      </w:pPr>
      <w:r>
        <w:rPr>
          <w:b/>
          <w:sz w:val="21"/>
        </w:rPr>
        <w:t xml:space="preserve">Frühe Qualitätssicherung: </w:t>
      </w:r>
      <w:r>
        <w:rPr>
          <w:sz w:val="21"/>
        </w:rPr>
        <w:t xml:space="preserve"> Bessere Akzeptanzkriterien werden schon beim Anlegen erkannt – Fehler fallen nicht erst im Test oder Review auf.</w:t>
      </w:r>
    </w:p>
    <w:p>
      <w:pPr>
        <w:pStyle w:val="ListBullet"/>
        <w:spacing w:after="60"/>
      </w:pPr>
      <w:r>
        <w:rPr>
          <w:b/>
          <w:sz w:val="21"/>
        </w:rPr>
        <w:t xml:space="preserve">Keine Insellösung: </w:t>
      </w:r>
      <w:r>
        <w:rPr>
          <w:sz w:val="21"/>
        </w:rPr>
        <w:t xml:space="preserve"> Die Test Cases entstehen als native Azure-Test-Case-Work-Items – direkt in Test Plans nutzbar, kein Import.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4EA"/>
          </w:tcPr>
          <w:p>
            <w:pPr>
              <w:spacing w:before="80" w:after="80"/>
            </w:pPr>
            <w:r/>
            <w:r>
              <w:rPr>
                <w:b/>
                <w:color w:val="1B7F37"/>
                <w:sz w:val="20"/>
              </w:rPr>
              <w:t xml:space="preserve">AUDIT-TAUGLICH  </w:t>
            </w:r>
            <w:r>
              <w:rPr>
                <w:sz w:val="20"/>
              </w:rPr>
              <w:t>Faustregel für Audits: Jederzeit nachweisbar, welche Anforderung durch welchen Testfall abgedeckt ist – von der Story bis zum Test eine durchgehende Spur.</w:t>
            </w:r>
          </w:p>
        </w:tc>
      </w:tr>
    </w:tbl>
    <w:p/>
    <w:p>
      <w:pPr>
        <w:pStyle w:val="Heading1"/>
      </w:pPr>
      <w:r>
        <w:t>4. Architektur – wo läuft was</w:t>
      </w:r>
    </w:p>
    <w:p>
      <w:pPr>
        <w:spacing w:after="120"/>
      </w:pPr>
      <w:r>
        <w:rPr>
          <w:b w:val="0"/>
          <w:i w:val="0"/>
          <w:sz w:val="21"/>
        </w:rPr>
        <w:t>Client (Extension-iframe im Browser) → Azure Functions Backend → Azure DevOps / Azure OpenAI / Storage / Key Vault. Kein Bestandteil läuft außerhalb des Azure-Tenants der Bank.</w:t>
      </w:r>
    </w:p>
    <w:p>
      <w:pPr>
        <w:ind w:left="288"/>
      </w:pPr>
      <w:r>
        <w:rPr>
          <w:rFonts w:ascii="Consolas" w:hAnsi="Consolas"/>
          <w:color w:val="1A1A1A"/>
          <w:sz w:val="18"/>
        </w:rPr>
        <w:t>Nutzer im Work-Item-Formular (Azure Boards)</w:t>
        <w:br/>
        <w:t xml:space="preserve">  └─ Extension-Tab „QualityGate AI“ (React-iframe, Browser des Nutzers)</w:t>
        <w:br/>
        <w:t xml:space="preserve">       └─ HTTPS + Bearer-Token → Azure Function App (Node.js, Bank-Tenant)</w:t>
        <w:br/>
        <w:t xml:space="preserve">            ├─ Azure DevOps REST API   (Token des angemeldeten Nutzers)</w:t>
        <w:br/>
        <w:t xml:space="preserve">            ├─ Azure OpenAI, EU-Region (Managed Identity, kein API-Key)</w:t>
        <w:br/>
        <w:t xml:space="preserve">            ├─ Azure Table Storage     (Analyse-Stände, Rulesets, Audit)</w:t>
        <w:br/>
        <w:t xml:space="preserve">            └─ Azure Key Vault         (Secrets; bei Azure OpenAI faktisch leer)</w:t>
      </w:r>
    </w:p>
    <w:p/>
    <w:p>
      <w:pPr>
        <w:pStyle w:val="ListBullet"/>
        <w:spacing w:after="60"/>
      </w:pPr>
      <w:r>
        <w:rPr>
          <w:sz w:val="21"/>
        </w:rPr>
        <w:t>Keine Telemetrie an den Hersteller, keine Drittanbieter-Aufrufe außer den konfigurierten Azure-Diensten.</w:t>
      </w:r>
    </w:p>
    <w:p>
      <w:pPr>
        <w:pStyle w:val="ListBullet"/>
        <w:spacing w:after="60"/>
      </w:pPr>
      <w:r>
        <w:rPr>
          <w:sz w:val="21"/>
        </w:rPr>
        <w:t>Backend: Azure Functions v4 (Node.js). Frontend: React/Vite über das Azure-DevOps-Extension-SDK.</w:t>
      </w:r>
    </w:p>
    <w:p>
      <w:pPr>
        <w:pStyle w:val="ListBullet"/>
        <w:spacing w:after="60"/>
      </w:pPr>
      <w:r>
        <w:rPr>
          <w:sz w:val="21"/>
        </w:rPr>
        <w:t>Die Standard-Backend-URL im Frontend-Build muss beim Bank-Build zwingend auf das Bank-Backend gesetzt werden (siehe Security-Punkt M-4).</w:t>
      </w:r>
    </w:p>
    <w:p>
      <w:pPr>
        <w:pStyle w:val="Heading1"/>
      </w:pPr>
      <w:r>
        <w:t>5. Deployment bei der ING</w:t>
      </w:r>
    </w:p>
    <w:p>
      <w:pPr>
        <w:pStyle w:val="Heading2"/>
      </w:pPr>
      <w:r>
        <w:t>5.1 Voraussetzungen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6336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Voraussetzung</w:t>
            </w:r>
          </w:p>
        </w:tc>
        <w:tc>
          <w:tcPr>
            <w:tcW w:type="dxa" w:w="2592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Wer liefert das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Azure-Subscription + Resource Group (EU-Region, z. B. West Europe)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Cloud-Team der Bank</w:t>
            </w:r>
          </w:p>
        </w:tc>
      </w:tr>
      <w:tr>
        <w:tc>
          <w:tcPr>
            <w:tcW w:type="dxa" w:w="57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633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Freigabe/Provisionierung Azure OpenAI (EU-Region, Modell-Deployment)</w:t>
            </w:r>
          </w:p>
        </w:tc>
        <w:tc>
          <w:tcPr>
            <w:tcW w:type="dxa" w:w="2592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Cloud-/AI-Governance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Azure-DevOps-Organisation mit Boards im Einsatz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besteht bei der Bank</w:t>
            </w:r>
          </w:p>
        </w:tc>
      </w:tr>
      <w:tr>
        <w:tc>
          <w:tcPr>
            <w:tcW w:type="dxa" w:w="57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633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Berechtigung, Extensions in der ADO-Organisation hochzuladen</w:t>
            </w:r>
          </w:p>
        </w:tc>
        <w:tc>
          <w:tcPr>
            <w:tcW w:type="dxa" w:w="2592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ADO-Org-Owner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Internes Git-Repository für den Quellcode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DevOps-Team</w:t>
            </w:r>
          </w:p>
        </w:tc>
      </w:tr>
      <w:tr>
        <w:tc>
          <w:tcPr>
            <w:tcW w:type="dxa" w:w="57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633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Optional: Application Insights / Log Analytics für Monitoring</w:t>
            </w:r>
          </w:p>
        </w:tc>
        <w:tc>
          <w:tcPr>
            <w:tcW w:type="dxa" w:w="2592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Cloud-Team</w:t>
            </w:r>
          </w:p>
        </w:tc>
      </w:tr>
    </w:tbl>
    <w:p/>
    <w:p>
      <w:pPr>
        <w:pStyle w:val="Heading2"/>
      </w:pPr>
      <w:r>
        <w:t>5.2 Erste Schritte (Schritt für Schritt)</w:t>
      </w:r>
    </w:p>
    <w:p>
      <w:pPr>
        <w:pStyle w:val="ListNumber"/>
        <w:spacing w:after="60"/>
      </w:pPr>
      <w:r>
        <w:rPr>
          <w:b/>
          <w:sz w:val="21"/>
        </w:rPr>
        <w:t>Quellcode</w:t>
      </w:r>
      <w:r>
        <w:rPr>
          <w:sz w:val="21"/>
        </w:rPr>
        <w:t xml:space="preserve"> in ein internes Repo übernehmen (Empfehlung: Azure Repos in der ADO-Organisation). MIT-Lizenz – Übernahme und interner Betrieb uneingeschränkt erlaubt.</w:t>
      </w:r>
    </w:p>
    <w:p>
      <w:pPr>
        <w:pStyle w:val="ListNumber"/>
        <w:spacing w:after="60"/>
      </w:pPr>
      <w:r>
        <w:rPr>
          <w:b/>
          <w:sz w:val="21"/>
        </w:rPr>
        <w:t>Azure-Ressourcen</w:t>
      </w:r>
      <w:r>
        <w:rPr>
          <w:sz w:val="21"/>
        </w:rPr>
        <w:t xml:space="preserve"> anlegen: Function App (Linux, Node 20), Storage Account (Tabelle „qualityGateKeyValueStore“), Key Vault, Azure-OpenAI-Ressource mit Modell-Deployment. Managed Identity der Function App aktivieren und ihr die Rollen „Key Vault Secrets“ und „Cognitive Services OpenAI User“ geben.</w:t>
      </w:r>
    </w:p>
    <w:p>
      <w:pPr>
        <w:pStyle w:val="ListNumber"/>
        <w:spacing w:after="60"/>
      </w:pPr>
      <w:r>
        <w:rPr>
          <w:b/>
          <w:sz w:val="21"/>
        </w:rPr>
        <w:t>Backend</w:t>
      </w:r>
      <w:r>
        <w:rPr>
          <w:sz w:val="21"/>
        </w:rPr>
        <w:t xml:space="preserve"> konfigurieren und deployen: App-Settings setzen (Org-URL, Projekt, LLM_PROVIDER=azure-openai, OpenAI-Endpoint/Deployment, Key-Vault-URL, CORS_ALLOWED_ORIGIN), dann „func azure functionapp publish“.</w:t>
      </w:r>
    </w:p>
    <w:p>
      <w:pPr>
        <w:pStyle w:val="ListNumber"/>
        <w:spacing w:after="60"/>
      </w:pPr>
      <w:r>
        <w:rPr>
          <w:b/>
          <w:sz w:val="21"/>
        </w:rPr>
        <w:t>Extension</w:t>
      </w:r>
      <w:r>
        <w:rPr>
          <w:sz w:val="21"/>
        </w:rPr>
        <w:t xml:space="preserve"> bauen: VITE_API_BASE_URL auf die Bank-Backend-URL setzen, „npm run package“ im web-Verzeichnis → .vsix-Datei.</w:t>
      </w:r>
    </w:p>
    <w:p>
      <w:pPr>
        <w:pStyle w:val="ListNumber"/>
        <w:spacing w:after="60"/>
      </w:pPr>
      <w:r>
        <w:rPr>
          <w:b/>
          <w:sz w:val="21"/>
        </w:rPr>
        <w:t>Extension</w:t>
      </w:r>
      <w:r>
        <w:rPr>
          <w:sz w:val="21"/>
        </w:rPr>
        <w:t xml:space="preserve"> installieren: Als Org-Owner unter Organization Settings → Extensions → Upload extension hochladen. Kein öffentlicher Marketplace-Eintrag nötig.</w:t>
      </w:r>
    </w:p>
    <w:p>
      <w:pPr>
        <w:pStyle w:val="ListNumber"/>
        <w:spacing w:after="60"/>
      </w:pPr>
      <w:r>
        <w:rPr>
          <w:b/>
          <w:sz w:val="21"/>
        </w:rPr>
        <w:t xml:space="preserve">Verifizieren: </w:t>
      </w:r>
      <w:r>
        <w:rPr>
          <w:sz w:val="21"/>
        </w:rPr>
        <w:t xml:space="preserve"> Work Item öffnen → Tab „QualityGate AI“ → Analyse laufen lassen; Admin-Gate und Berechtigungs-Bitmaske gegen die Ziel-Organisation prüfen (Security-Punkt M-5).</w:t>
      </w:r>
    </w:p>
    <w:p>
      <w:pPr>
        <w:pStyle w:val="Heading2"/>
      </w:pPr>
      <w:r>
        <w:t>5.3 Benötigte Rechte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Bereich</w:t>
            </w:r>
          </w:p>
        </w:tc>
        <w:tc>
          <w:tcPr>
            <w:tcW w:type="dxa" w:w="4896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Recht</w:t>
            </w:r>
          </w:p>
        </w:tc>
        <w:tc>
          <w:tcPr>
            <w:tcW w:type="dxa" w:w="2880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Wofür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Contributor auf der Resource Group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Ressourcen anlegen</w:t>
            </w:r>
          </w:p>
        </w:tc>
      </w:tr>
      <w:tr>
        <w:tc>
          <w:tcPr>
            <w:tcW w:type="dxa" w:w="172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</w:t>
            </w:r>
          </w:p>
        </w:tc>
        <w:tc>
          <w:tcPr>
            <w:tcW w:type="dxa" w:w="489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Rollenzuweisung „Cognitive Services OpenAI User“ an die Managed Identity</w:t>
            </w:r>
          </w:p>
        </w:tc>
        <w:tc>
          <w:tcPr>
            <w:tcW w:type="dxa" w:w="288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LLM-Aufrufe ohne API-Key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Key-Vault-Policy (get/set/delete Secrets) für die Managed Identity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Secret-Zugriff</w:t>
            </w:r>
          </w:p>
        </w:tc>
      </w:tr>
      <w:tr>
        <w:tc>
          <w:tcPr>
            <w:tcW w:type="dxa" w:w="172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 DevOps</w:t>
            </w:r>
          </w:p>
        </w:tc>
        <w:tc>
          <w:tcPr>
            <w:tcW w:type="dxa" w:w="489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Organization Owner bzw. „Manage extensions“</w:t>
            </w:r>
          </w:p>
        </w:tc>
        <w:tc>
          <w:tcPr>
            <w:tcW w:type="dxa" w:w="288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.vsix hochladen/installieren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 DevOps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Endnutzer: normale Work-Item-Rechte (Scopes vso.work, vso.work_write, vso.profile)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Extension nutzt das eigene Nutzer-Token</w:t>
            </w:r>
          </w:p>
        </w:tc>
      </w:tr>
      <w:tr>
        <w:tc>
          <w:tcPr>
            <w:tcW w:type="dxa" w:w="172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 DevOps</w:t>
            </w:r>
          </w:p>
        </w:tc>
        <w:tc>
          <w:tcPr>
            <w:tcW w:type="dxa" w:w="489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Admin-Aktionen: projektweite Schreibrechte bzw. Eintrag in ADO_ADMIN_USER_IDS</w:t>
            </w:r>
          </w:p>
        </w:tc>
        <w:tc>
          <w:tcPr>
            <w:tcW w:type="dxa" w:w="288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Admin-Gate (Rulesets/Konfiguration)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4EA"/>
          </w:tcPr>
          <w:p>
            <w:pPr>
              <w:spacing w:before="80" w:after="80"/>
            </w:pPr>
            <w:r/>
            <w:r>
              <w:rPr>
                <w:b/>
                <w:color w:val="1B7F37"/>
                <w:sz w:val="20"/>
              </w:rPr>
              <w:t xml:space="preserve">RECHTE-PRINZIP  </w:t>
            </w:r>
            <w:r>
              <w:rPr>
                <w:sz w:val="20"/>
              </w:rPr>
              <w:t>Bewusst NICHT nötig: ein Service-Account mit Vollzugriff auf Boards. Jeder Zugriff auf Work Items geschieht mit dem Token des angemeldeten Nutzers – wer ein Work Item nicht sehen darf, sieht es auch über das Tool nicht.</w:t>
            </w:r>
          </w:p>
        </w:tc>
      </w:tr>
    </w:tbl>
    <w:p/>
    <w:p>
      <w:pPr>
        <w:pStyle w:val="Heading1"/>
      </w:pPr>
      <w:r>
        <w:t>6. Datenschutz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Datum</w:t>
            </w:r>
          </w:p>
        </w:tc>
        <w:tc>
          <w:tcPr>
            <w:tcW w:type="dxa" w:w="3456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Wo verarbeitet</w:t>
            </w:r>
          </w:p>
        </w:tc>
        <w:tc>
          <w:tcPr>
            <w:tcW w:type="dxa" w:w="3168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Gespeichert?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Work-Item-Texte (Titel, Beschreibung, Akzeptanzkriterien)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Function App + Azure OpenAI, EU-Region im Bank-Tenant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Analyse-Ergebnisse in Azure Table Storage (Bank-Tenant)</w:t>
            </w:r>
          </w:p>
        </w:tc>
      </w:tr>
      <w:tr>
        <w:tc>
          <w:tcPr>
            <w:tcW w:type="dxa" w:w="288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Nutzeridentität</w:t>
            </w:r>
          </w:p>
        </w:tc>
        <w:tc>
          <w:tcPr>
            <w:tcW w:type="dxa" w:w="345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nur ADO-Nutzer-ID (GUID), über die ADO-API aufgelöst</w:t>
            </w:r>
          </w:p>
        </w:tc>
        <w:tc>
          <w:tcPr>
            <w:tcW w:type="dxa" w:w="316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als Schlüssel für Einstellungen/Verbrauchszähler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Zugriffstoken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nur im Speicher pro Request (Passthrough)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nein, nie persistiert</w:t>
            </w:r>
          </w:p>
        </w:tc>
      </w:tr>
      <w:tr>
        <w:tc>
          <w:tcPr>
            <w:tcW w:type="dxa" w:w="288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OpenAI-Key (nur Public-OpenAI-Variante)</w:t>
            </w:r>
          </w:p>
        </w:tc>
        <w:tc>
          <w:tcPr>
            <w:tcW w:type="dxa" w:w="3456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 Key Vault</w:t>
            </w:r>
          </w:p>
        </w:tc>
        <w:tc>
          <w:tcPr>
            <w:tcW w:type="dxa" w:w="316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ja, verschlüsselt im Vault</w:t>
            </w:r>
          </w:p>
        </w:tc>
      </w:tr>
    </w:tbl>
    <w:p/>
    <w:p>
      <w:pPr>
        <w:spacing w:after="120"/>
      </w:pPr>
      <w:r>
        <w:rPr>
          <w:b/>
          <w:i w:val="0"/>
          <w:sz w:val="21"/>
        </w:rPr>
        <w:t>Kernaussagen für die Bank:</w:t>
      </w:r>
    </w:p>
    <w:p>
      <w:pPr>
        <w:pStyle w:val="ListBullet"/>
        <w:spacing w:after="60"/>
      </w:pPr>
      <w:r>
        <w:rPr>
          <w:b/>
          <w:sz w:val="21"/>
        </w:rPr>
        <w:t xml:space="preserve">Keine Daten in die USA: </w:t>
      </w:r>
      <w:r>
        <w:rPr>
          <w:sz w:val="21"/>
        </w:rPr>
        <w:t xml:space="preserve"> Vorgesehen ist LLM_PROVIDER=azure-openai mit EU-Endpoint. Der Public-OpenAI-Pfad ist ein Dev-Fallback, der nicht konfiguriert und per Egress-Firewall blockierbar ist.</w:t>
      </w:r>
    </w:p>
    <w:p>
      <w:pPr>
        <w:pStyle w:val="ListBullet"/>
        <w:spacing w:after="60"/>
      </w:pPr>
      <w:r>
        <w:rPr>
          <w:b/>
          <w:sz w:val="21"/>
        </w:rPr>
        <w:t xml:space="preserve">Kein Modelltraining mit Bank-Daten: </w:t>
      </w:r>
      <w:r>
        <w:rPr>
          <w:sz w:val="21"/>
        </w:rPr>
        <w:t xml:space="preserve"> Azure-OpenAI-Zusicherung von Microsoft; Prompts/Completions gehen nicht an OpenAI (das Unternehmen). Optional „modified abuse monitoring“ (Opt-out der 30-Tage-Vorhaltung) beantragen – bei Finanzinstituten üblich.</w:t>
      </w:r>
    </w:p>
    <w:p>
      <w:pPr>
        <w:pStyle w:val="ListBullet"/>
        <w:spacing w:after="60"/>
      </w:pPr>
      <w:r>
        <w:rPr>
          <w:b/>
          <w:sz w:val="21"/>
        </w:rPr>
        <w:t xml:space="preserve">DSGVO-Einordnung: </w:t>
      </w:r>
      <w:r>
        <w:rPr>
          <w:sz w:val="21"/>
        </w:rPr>
        <w:t xml:space="preserve"> Work-Item-Texte können Personenbezug enthalten. Verarbeitung bleibt im bestehenden Microsoft-AVV der Bank; Aufnahme in die bestehende DSFA des Azure-DevOps-/OpenAI-Stacks empfohlen. Entscheidung trifft der DSB der Bank.</w:t>
      </w:r>
    </w:p>
    <w:p>
      <w:pPr>
        <w:pStyle w:val="ListBullet"/>
        <w:spacing w:after="60"/>
      </w:pPr>
      <w:r>
        <w:rPr>
          <w:b/>
          <w:sz w:val="21"/>
        </w:rPr>
        <w:t xml:space="preserve">Mensch in der Schleife: </w:t>
      </w:r>
      <w:r>
        <w:rPr>
          <w:sz w:val="21"/>
        </w:rPr>
        <w:t xml:space="preserve"> Die KI legt nie selbstständig an oder ändert etwas. Generieren und Übernehmen sind getrennt; jede Übernahme erzeugt einen Audit-Eintrag. EU-AI-Act: unterstützendes Werkzeug mit menschlicher Letztentscheidung, kein Hochrisiko-System.</w:t>
      </w:r>
    </w:p>
    <w:p>
      <w:pPr>
        <w:pStyle w:val="Heading1"/>
      </w:pPr>
      <w:r>
        <w:t>7. Kosten</w:t>
      </w:r>
    </w:p>
    <w:p>
      <w:pPr>
        <w:spacing w:after="120"/>
      </w:pPr>
      <w:r>
        <w:rPr>
          <w:b w:val="0"/>
          <w:i/>
          <w:color w:val="595959"/>
          <w:sz w:val="21"/>
        </w:rPr>
        <w:t>Größenordnung für einen Pilot mit ~1 Team / ~50 Nutzern: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Posten</w:t>
            </w:r>
          </w:p>
        </w:tc>
        <w:tc>
          <w:tcPr>
            <w:tcW w:type="dxa" w:w="2160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Monatlich (ca.)</w:t>
            </w:r>
          </w:p>
        </w:tc>
        <w:tc>
          <w:tcPr>
            <w:tcW w:type="dxa" w:w="3024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Anmerkung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 Functions (Consumption)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0–10 €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Freikontingent deckt Pilotlast meist ab</w:t>
            </w:r>
          </w:p>
        </w:tc>
      </w:tr>
      <w:tr>
        <w:tc>
          <w:tcPr>
            <w:tcW w:type="dxa" w:w="432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Storage Account (Table)</w:t>
            </w:r>
          </w:p>
        </w:tc>
        <w:tc>
          <w:tcPr>
            <w:tcW w:type="dxa" w:w="216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&lt; 2 €</w:t>
            </w:r>
          </w:p>
        </w:tc>
        <w:tc>
          <w:tcPr>
            <w:tcW w:type="dxa" w:w="3024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Kilobyte-große Datensätze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Key Vault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&lt; 1 €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wenige Operationen</w:t>
            </w:r>
          </w:p>
        </w:tc>
      </w:tr>
      <w:tr>
        <w:tc>
          <w:tcPr>
            <w:tcW w:type="dxa" w:w="432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Azure OpenAI (z. B. GPT-4o-mini)</w:t>
            </w:r>
          </w:p>
        </w:tc>
        <w:tc>
          <w:tcPr>
            <w:tcW w:type="dxa" w:w="216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20–100 €</w:t>
            </w:r>
          </w:p>
        </w:tc>
        <w:tc>
          <w:tcPr>
            <w:tcW w:type="dxa" w:w="3024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nutzungsabhängig; ~2–5k Token pro Analyse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 Insights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5–25 €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empfohlen</w:t>
            </w:r>
          </w:p>
        </w:tc>
      </w:tr>
      <w:tr>
        <w:tc>
          <w:tcPr>
            <w:tcW w:type="dxa" w:w="432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Summe Pilot</w:t>
            </w:r>
          </w:p>
        </w:tc>
        <w:tc>
          <w:tcPr>
            <w:tcW w:type="dxa" w:w="2160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~30–140 €</w:t>
            </w:r>
          </w:p>
        </w:tc>
        <w:tc>
          <w:tcPr>
            <w:tcW w:type="dxa" w:w="3024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Verbrauchszähler pro Nutzer eingebaut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Enterprise-Härtung (Private Endpoints, VNet, ggf. WAF)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+100–350 €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je nach Bank-Vorgaben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Einmalig: 2–5 Personentage technisches Setup zzgl. Aufwand der Bank-Gremien. Die Kosten skalieren fast ausschließlich mit der LLM-Nutzung; Budget-Alerts auf der Azure-OpenAI-Ressource sind in wenigen Minuten eingerichtet.</w:t>
      </w:r>
    </w:p>
    <w:p>
      <w:pPr>
        <w:pStyle w:val="Heading1"/>
      </w:pPr>
      <w:r>
        <w:t>8. Zeitplan bis zum laufenden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872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Dauer</w:t>
            </w:r>
          </w:p>
        </w:tc>
        <w:tc>
          <w:tcPr>
            <w:tcW w:type="dxa" w:w="3888"/>
            <w:shd w:val="clear" w:color="auto" w:fill="FF62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Inhalt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1. Repo-Übernahme + interner Review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1 Woche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Code in Bank-Repo, Dependency-/License-Scan</w:t>
            </w:r>
          </w:p>
        </w:tc>
      </w:tr>
      <w:tr>
        <w:tc>
          <w:tcPr>
            <w:tcW w:type="dxa" w:w="3744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2. Genehmigungen (parallel)</w:t>
            </w:r>
          </w:p>
        </w:tc>
        <w:tc>
          <w:tcPr>
            <w:tcW w:type="dxa" w:w="1872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2–4 Wochen</w:t>
            </w:r>
          </w:p>
        </w:tc>
        <w:tc>
          <w:tcPr>
            <w:tcW w:type="dxa" w:w="388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Subscription, Azure-OpenAI-Freigabe, Security-/Compliance-Review, ggf. Betriebsrat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3. Infrastruktur + Deployment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2–5 Tage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Ressourcen, Backend, Extension-Build, Installation</w:t>
            </w:r>
          </w:p>
        </w:tc>
      </w:tr>
      <w:tr>
        <w:tc>
          <w:tcPr>
            <w:tcW w:type="dxa" w:w="3744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4. Härtung + Verifikation</w:t>
            </w:r>
          </w:p>
        </w:tc>
        <w:tc>
          <w:tcPr>
            <w:tcW w:type="dxa" w:w="1872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1 Woche</w:t>
            </w:r>
          </w:p>
        </w:tc>
        <w:tc>
          <w:tcPr>
            <w:tcW w:type="dxa" w:w="388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die 5 Security-Punkte, Admin-Gate-Verifikation, ggf. Pen-Test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5. Pilot mit einem Team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2–4 Wochen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Feedback, Kostenbeobachtung</w:t>
            </w:r>
          </w:p>
        </w:tc>
      </w:tr>
      <w:tr>
        <w:tc>
          <w:tcPr>
            <w:tcW w:type="dxa" w:w="3744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Gesamt bis laufender Pilot</w:t>
            </w:r>
          </w:p>
        </w:tc>
        <w:tc>
          <w:tcPr>
            <w:tcW w:type="dxa" w:w="1872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~6–10 Wochen</w:t>
            </w:r>
          </w:p>
        </w:tc>
        <w:tc>
          <w:tcPr>
            <w:tcW w:type="dxa" w:w="3888"/>
            <w:shd w:val="clear" w:color="auto" w:fill="FCE9D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Engpass: Genehmigungen, nicht Technik</w:t>
            </w:r>
          </w:p>
        </w:tc>
      </w:tr>
    </w:tbl>
    <w:p/>
    <w:p>
      <w:pPr>
        <w:pStyle w:val="Heading1"/>
      </w:pPr>
      <w:r>
        <w:t>9. Quellcode-Ablage</w:t>
      </w:r>
    </w:p>
    <w:p>
      <w:pPr>
        <w:spacing w:after="120"/>
      </w:pPr>
      <w:r>
        <w:rPr>
          <w:b/>
          <w:i w:val="0"/>
          <w:sz w:val="21"/>
        </w:rPr>
        <w:t>Empfehlung: Azure Repos in der Azure-DevOps-Organisation der ING.</w:t>
      </w:r>
    </w:p>
    <w:p>
      <w:pPr>
        <w:pStyle w:val="ListBullet"/>
        <w:spacing w:after="60"/>
      </w:pPr>
      <w:r>
        <w:rPr>
          <w:sz w:val="21"/>
        </w:rPr>
        <w:t>Gleiche Zugriffs-/Berechtigungswelt wie Boards, keine neue Plattform.</w:t>
      </w:r>
    </w:p>
    <w:p>
      <w:pPr>
        <w:pStyle w:val="ListBullet"/>
        <w:spacing w:after="60"/>
      </w:pPr>
      <w:r>
        <w:rPr>
          <w:sz w:val="21"/>
        </w:rPr>
        <w:t>Build-Pipeline (Extension-.vsix + Function-Deploy) direkt in Azure Pipelines.</w:t>
      </w:r>
    </w:p>
    <w:p>
      <w:pPr>
        <w:pStyle w:val="ListBullet"/>
        <w:spacing w:after="60"/>
      </w:pPr>
      <w:r>
        <w:rPr>
          <w:sz w:val="21"/>
        </w:rPr>
        <w:t>Vollständige Audit-Historie, Branch-Policies, Pflicht-Reviews – bankkonform.</w:t>
      </w:r>
    </w:p>
    <w:p>
      <w:pPr>
        <w:pStyle w:val="ListBullet"/>
        <w:spacing w:after="60"/>
      </w:pPr>
      <w:r>
        <w:rPr>
          <w:sz w:val="21"/>
        </w:rPr>
        <w:t>Alternative: internes GitHub Enterprise der ING. Entscheidend ist nur „intern, zugriffskontrolliert, mit Review-Pflicht“, nicht das Produkt.</w:t>
      </w:r>
    </w:p>
    <w:p>
      <w:pPr>
        <w:pStyle w:val="ListBullet"/>
        <w:spacing w:after="60"/>
      </w:pPr>
      <w:r>
        <w:rPr>
          <w:sz w:val="21"/>
        </w:rPr>
        <w:t>Das heutige öffentliche GitHub-Repo bleibt davon unberührt (MIT); der Bank-Fork wird intern weitergepflegt.</w:t>
      </w:r>
    </w:p>
    <w:p>
      <w:pPr>
        <w:pStyle w:val="Heading1"/>
      </w:pPr>
      <w:r>
        <w:t>10. Security-Befund (vollständiger Code-Review)</w:t>
      </w:r>
    </w:p>
    <w:p>
      <w:pPr>
        <w:spacing w:after="120"/>
      </w:pPr>
      <w:r>
        <w:rPr>
          <w:b w:val="0"/>
          <w:i w:val="0"/>
          <w:sz w:val="21"/>
        </w:rPr>
        <w:t>Geprüft am 08.07.2026: alle Backend-Schichten (functions, auth, services, gateways, repositories, providers/llm, utils), Frontend (API-Shim, HTML-Rendering), Manifeste/Konfiguration, Abhängigkeiten (npm audit Backend + Frontend), Secret-Scan über den gesamten Baum.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4EA"/>
          </w:tcPr>
          <w:p>
            <w:pPr>
              <w:spacing w:before="80" w:after="80"/>
            </w:pPr>
            <w:r/>
            <w:r>
              <w:rPr>
                <w:b/>
                <w:color w:val="1B7F37"/>
                <w:sz w:val="20"/>
              </w:rPr>
              <w:t xml:space="preserve">GESAMTURTEIL  </w:t>
            </w:r>
            <w:r>
              <w:rPr>
                <w:sz w:val="20"/>
              </w:rPr>
              <w:t>Gesamturteil: KEINE kritischen oder hohen Schwachstellen. Die Architektur ist für ein Bank-Deployment ungewöhnlich gut vorbereitet (Token-Passthrough statt Service-Account, fail-closed Admin-Gate, Key Vault + Managed Identity, Sanitisierung an allen HTML-Grenzen). Fünf mittlere/niedrige Punkte sind vor Produktivbetrieb zu härten.</w:t>
            </w:r>
          </w:p>
        </w:tc>
      </w:tr>
    </w:tbl>
    <w:p/>
    <w:p>
      <w:pPr>
        <w:pStyle w:val="Heading2"/>
      </w:pPr>
      <w:r>
        <w:t>10.1 Positive Feststellungen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B7F3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Bereich</w:t>
            </w:r>
          </w:p>
        </w:tc>
        <w:tc>
          <w:tcPr>
            <w:tcW w:type="dxa" w:w="7056"/>
            <w:shd w:val="clear" w:color="auto" w:fill="1B7F3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Befund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Secrets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Kein hartkodiertes Secret im gesamten Baum; local.settings nur als .example mit Platzhaltern.</w:t>
            </w:r>
          </w:p>
        </w:tc>
      </w:tr>
      <w:tr>
        <w:tc>
          <w:tcPr>
            <w:tcW w:type="dxa" w:w="2448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Authentifizierung</w:t>
            </w:r>
          </w:p>
        </w:tc>
        <w:tc>
          <w:tcPr>
            <w:tcW w:type="dxa" w:w="7056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Alle 32 fachlichen Endpunkte hinter withAuth (Bearer-Token-Pflicht, serverseitige Identitätsprüfung); offen nur /health und CORS-Preflight.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Autorisierung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Admin-Gate ist fail-closed: jeder Fehler führt zur Ablehnung, nie zur Erlaubnis.</w:t>
            </w:r>
          </w:p>
        </w:tc>
      </w:tr>
      <w:tr>
        <w:tc>
          <w:tcPr>
            <w:tcW w:type="dxa" w:w="2448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Rechte-Modell</w:t>
            </w:r>
          </w:p>
        </w:tc>
        <w:tc>
          <w:tcPr>
            <w:tcW w:type="dxa" w:w="7056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Token-Passthrough: ADO-Zugriffe mit dem Token des Nutzers → keine Privilegien-Ausweitung.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XSS-Schutz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LLM-Ausgabe im Frontend mit DOMPurify, Rückschreiben serverseitig mit sanitize-html + enger Tag-Whitelist.</w:t>
            </w:r>
          </w:p>
        </w:tc>
      </w:tr>
      <w:tr>
        <w:tc>
          <w:tcPr>
            <w:tcW w:type="dxa" w:w="2448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Injection</w:t>
            </w:r>
          </w:p>
        </w:tc>
        <w:tc>
          <w:tcPr>
            <w:tcW w:type="dxa" w:w="7056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WIQL-Begriffe escaped, Work-Item-IDs strikt numerisch, Feld-Updates nur über 3-Feld-Allowlist.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Secret-Handling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OpenAI-Key im Key Vault (Managed Identity); in Logs/Antworten nur maskiert; Azure-OpenAI ganz ohne API-Key.</w:t>
            </w:r>
          </w:p>
        </w:tc>
      </w:tr>
      <w:tr>
        <w:tc>
          <w:tcPr>
            <w:tcW w:type="dxa" w:w="2448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Dependencies Backend</w:t>
            </w:r>
          </w:p>
        </w:tc>
        <w:tc>
          <w:tcPr>
            <w:tcW w:type="dxa" w:w="7056"/>
            <w:shd w:val="clear" w:color="auto" w:fill="E7F4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npm audit: 0 Schwachstellen; kleiner Fußabdruck (6 Runtime-Abhängigkeiten).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KI-Kontrolle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Kein autonomes Schreiben; Apply-Aktionen erzeugen Audit-Einträge.</w:t>
            </w:r>
          </w:p>
        </w:tc>
      </w:tr>
    </w:tbl>
    <w:p/>
    <w:p>
      <w:pPr>
        <w:pStyle w:val="Heading2"/>
      </w:pPr>
      <w:r>
        <w:t>10.2 Zu härtende Punkte vor Produktivbetrieb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B469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008"/>
            <w:shd w:val="clear" w:color="auto" w:fill="B469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Schwere</w:t>
            </w:r>
          </w:p>
        </w:tc>
        <w:tc>
          <w:tcPr>
            <w:tcW w:type="dxa" w:w="3888"/>
            <w:shd w:val="clear" w:color="auto" w:fill="B469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Befund</w:t>
            </w:r>
          </w:p>
        </w:tc>
        <w:tc>
          <w:tcPr>
            <w:tcW w:type="dxa" w:w="4032"/>
            <w:shd w:val="clear" w:color="auto" w:fill="B469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Empfehlung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M-1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Mittel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CORS-Default ist Allow-Origin: * (utils/cors.js)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CORS_ALLOWED_ORIGIN zwingend auf die Extension-Host-Domain setzen (Auth per Token, keine Cookies → Risiko begrenzt).</w:t>
            </w:r>
          </w:p>
        </w:tc>
      </w:tr>
      <w:tr>
        <w:tc>
          <w:tcPr>
            <w:tcW w:type="dxa" w:w="576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M-2</w:t>
            </w:r>
          </w:p>
        </w:tc>
        <w:tc>
          <w:tcPr>
            <w:tcW w:type="dxa" w:w="100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Mittel</w:t>
            </w:r>
          </w:p>
        </w:tc>
        <w:tc>
          <w:tcPr>
            <w:tcW w:type="dxa" w:w="388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allowInsecureConnection: true im Table-Storage-Client</w:t>
            </w:r>
          </w:p>
        </w:tc>
        <w:tc>
          <w:tcPr>
            <w:tcW w:type="dxa" w:w="4032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Nur für lokales Azurite; in Produktion HTTPS erzwingen + „Secure transfer required“ am Storage Account.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M-3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Mittel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LLM-Prompts/-Antworten (Work-Item-Inhalte) als Vorschau in den Logs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Prompt-/Output-Previews per Flag abschaltbar machen; Log-Retention mit DSB abstimmen.</w:t>
            </w:r>
          </w:p>
        </w:tc>
      </w:tr>
      <w:tr>
        <w:tc>
          <w:tcPr>
            <w:tcW w:type="dxa" w:w="576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M-4</w:t>
            </w:r>
          </w:p>
        </w:tc>
        <w:tc>
          <w:tcPr>
            <w:tcW w:type="dxa" w:w="100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Mittel</w:t>
            </w:r>
          </w:p>
        </w:tc>
        <w:tc>
          <w:tcPr>
            <w:tcW w:type="dxa" w:w="388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Frontend-Default-Backend-URL zeigt auf die Instanz des Autors</w:t>
            </w:r>
          </w:p>
        </w:tc>
        <w:tc>
          <w:tcPr>
            <w:tcW w:type="dxa" w:w="4032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Default entfernen bzw. Build ohne gesetzte VITE_API_BASE_URL fehlschlagen lassen.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M-5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Mittel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Admin-Bitmaske/Namespace org-abhängig, noch nicht gegen Ziel-Org verifiziert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Vor Go-Live gegen die ING-Org verifizieren; Allowlist leer lassen bzw. eng fassen.</w:t>
            </w:r>
          </w:p>
        </w:tc>
      </w:tr>
      <w:tr>
        <w:tc>
          <w:tcPr>
            <w:tcW w:type="dxa" w:w="576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L-1</w:t>
            </w:r>
          </w:p>
        </w:tc>
        <w:tc>
          <w:tcPr>
            <w:tcW w:type="dxa" w:w="100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Niedrig</w:t>
            </w:r>
          </w:p>
        </w:tc>
        <w:tc>
          <w:tcPr>
            <w:tcW w:type="dxa" w:w="388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Interne Fehlermeldungen werden 1:1 an den Client durchgereicht</w:t>
            </w:r>
          </w:p>
        </w:tc>
        <w:tc>
          <w:tcPr>
            <w:tcW w:type="dxa" w:w="4032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In Produktion generische Meldung + Korrelations-ID; Details nur ins Log.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L-2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Niedrig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npm audit Frontend: esbuild/vite-Advisory – nur Dev-Server, nicht das Bundle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Bei Gelegenheit Vite-Major-Update; kein Produktionsrisiko.</w:t>
            </w:r>
          </w:p>
        </w:tc>
      </w:tr>
      <w:tr>
        <w:tc>
          <w:tcPr>
            <w:tcW w:type="dxa" w:w="576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L-3</w:t>
            </w:r>
          </w:p>
        </w:tc>
        <w:tc>
          <w:tcPr>
            <w:tcW w:type="dxa" w:w="100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Niedrig</w:t>
            </w:r>
          </w:p>
        </w:tc>
        <w:tc>
          <w:tcPr>
            <w:tcW w:type="dxa" w:w="3888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PAT-Fallback als Env-Variable (lokaler Dev-Pfad)</w:t>
            </w:r>
          </w:p>
        </w:tc>
        <w:tc>
          <w:tcPr>
            <w:tcW w:type="dxa" w:w="4032"/>
            <w:shd w:val="clear" w:color="auto" w:fill="FBEFD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In der Bank-Function-App nicht setzen; optional Code-Guard außerhalb Development.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L-4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Niedrig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Keine harten Rate-Limits auf den LLM-Endpunkten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Verbrauchszähler um Quota ergänzen + Azure-Budget-Alert.</w:t>
            </w:r>
          </w:p>
        </w:tc>
      </w:tr>
    </w:tbl>
    <w:p/>
    <w:p>
      <w:pPr>
        <w:spacing w:after="120"/>
      </w:pPr>
      <w:r>
        <w:rPr>
          <w:b w:val="0"/>
          <w:i/>
          <w:color w:val="595959"/>
          <w:sz w:val="21"/>
        </w:rPr>
        <w:t>Alle fünf mittleren Punkte sind klein und risikoarm umsetzbar; M-1 bis M-4 sind reine Konfigurations-/Einzeiler-Änderungen.</w:t>
      </w:r>
    </w:p>
    <w:p>
      <w:pPr>
        <w:pStyle w:val="Heading1"/>
      </w:pPr>
      <w:r>
        <w:t>11. Erwartbare Fragen der ING – mit Antworten</w:t>
      </w:r>
    </w:p>
    <w:p>
      <w:pPr>
        <w:spacing w:after="20"/>
      </w:pPr>
      <w:r>
        <w:rPr>
          <w:b/>
          <w:color w:val="FF6200"/>
          <w:sz w:val="21"/>
        </w:rPr>
        <w:t>F1.  Verlassen Daten die EU oder unseren Tenant?</w:t>
      </w:r>
    </w:p>
    <w:p>
      <w:pPr>
        <w:spacing w:after="160"/>
        <w:ind w:left="360"/>
      </w:pPr>
      <w:r>
        <w:rPr>
          <w:sz w:val="21"/>
        </w:rPr>
        <w:t>Nein. Function App, Storage, Key Vault und Azure OpenAI laufen in einer EU-Region im Tenant der Bank. Der einzige externe Pfad (Public OpenAI) ist ein Dev-Fallback, nicht konfiguriert und per Egress-Regel blockierbar.</w:t>
      </w:r>
    </w:p>
    <w:p>
      <w:pPr>
        <w:spacing w:after="20"/>
      </w:pPr>
      <w:r>
        <w:rPr>
          <w:b/>
          <w:color w:val="FF6200"/>
          <w:sz w:val="21"/>
        </w:rPr>
        <w:t>F2.  Trainiert Microsoft/OpenAI mit unseren Daten?</w:t>
      </w:r>
    </w:p>
    <w:p>
      <w:pPr>
        <w:spacing w:after="160"/>
        <w:ind w:left="360"/>
      </w:pPr>
      <w:r>
        <w:rPr>
          <w:sz w:val="21"/>
        </w:rPr>
        <w:t>Nein, vertraglich ausgeschlossen. Optional „modified abuse monitoring“ beantragen, dann entfällt auch die bis zu 30-tägige Missbrauchs-Vorhaltung.</w:t>
      </w:r>
    </w:p>
    <w:p>
      <w:pPr>
        <w:spacing w:after="20"/>
      </w:pPr>
      <w:r>
        <w:rPr>
          <w:b/>
          <w:color w:val="FF6200"/>
          <w:sz w:val="21"/>
        </w:rPr>
        <w:t>F3.  Welche Daten genau gehen an das LLM?</w:t>
      </w:r>
    </w:p>
    <w:p>
      <w:pPr>
        <w:spacing w:after="160"/>
        <w:ind w:left="360"/>
      </w:pPr>
      <w:r>
        <w:rPr>
          <w:sz w:val="21"/>
        </w:rPr>
        <w:t>Nur Titel, Beschreibung und Akzeptanzkriterien des geöffneten Work Items plus das Regelwerk. Keine Anhänge, keine Kommentare, keine Personaldaten aus anderen Systemen.</w:t>
      </w:r>
    </w:p>
    <w:p>
      <w:pPr>
        <w:spacing w:after="20"/>
      </w:pPr>
      <w:r>
        <w:rPr>
          <w:b/>
          <w:color w:val="FF6200"/>
          <w:sz w:val="21"/>
        </w:rPr>
        <w:t>F4.  Kann das Tool mehr als der Nutzer selbst?</w:t>
      </w:r>
    </w:p>
    <w:p>
      <w:pPr>
        <w:spacing w:after="160"/>
        <w:ind w:left="360"/>
      </w:pPr>
      <w:r>
        <w:rPr>
          <w:sz w:val="21"/>
        </w:rPr>
        <w:t>Nein. Es nutzt das Zugriffstoken des angemeldeten Nutzers (Token-Passthrough). Berechtigungen der Bank in Azure DevOps gelten 1:1 weiter.</w:t>
      </w:r>
    </w:p>
    <w:p>
      <w:pPr>
        <w:spacing w:after="20"/>
      </w:pPr>
      <w:r>
        <w:rPr>
          <w:b/>
          <w:color w:val="FF6200"/>
          <w:sz w:val="21"/>
        </w:rPr>
        <w:t>F5.  Was passiert, wenn die KI Unsinn erzeugt?</w:t>
      </w:r>
    </w:p>
    <w:p>
      <w:pPr>
        <w:spacing w:after="160"/>
        <w:ind w:left="360"/>
      </w:pPr>
      <w:r>
        <w:rPr>
          <w:sz w:val="21"/>
        </w:rPr>
        <w:t>Nichts wird automatisch geschrieben. Jeder Vorschlag ist eine Vorschau, die der Nutzer editieren, verwerfen oder übernehmen kann; Übernahmen werden auditiert.</w:t>
      </w:r>
    </w:p>
    <w:p>
      <w:pPr>
        <w:spacing w:after="20"/>
      </w:pPr>
      <w:r>
        <w:rPr>
          <w:b/>
          <w:color w:val="FF6200"/>
          <w:sz w:val="21"/>
        </w:rPr>
        <w:t>F6.  Wie ist der Code abgesichert / wurde er geprüft?</w:t>
      </w:r>
    </w:p>
    <w:p>
      <w:pPr>
        <w:spacing w:after="160"/>
        <w:ind w:left="360"/>
      </w:pPr>
      <w:r>
        <w:rPr>
          <w:sz w:val="21"/>
        </w:rPr>
        <w:t>Vollständiger Code-Review liegt vor (Kapitel 10): keine kritischen Findings, Backend-Dependencies ohne bekannte Schwachstellen, definierte Härtungsliste vor Go-Live. Ein Pen-Test durch die Bank ist problemlos möglich.</w:t>
      </w:r>
    </w:p>
    <w:p>
      <w:pPr>
        <w:spacing w:after="20"/>
      </w:pPr>
      <w:r>
        <w:rPr>
          <w:b/>
          <w:color w:val="FF6200"/>
          <w:sz w:val="21"/>
        </w:rPr>
        <w:t>F7.  EU AI Act?</w:t>
      </w:r>
    </w:p>
    <w:p>
      <w:pPr>
        <w:spacing w:after="160"/>
        <w:ind w:left="360"/>
      </w:pPr>
      <w:r>
        <w:rPr>
          <w:sz w:val="21"/>
        </w:rPr>
        <w:t>Unterstützendes Qualitätswerkzeug mit menschlicher Letztentscheidung, kein Hochrisiko-Anwendungsfall (keine Entscheidungen über Personen).</w:t>
      </w:r>
    </w:p>
    <w:p>
      <w:pPr>
        <w:spacing w:after="20"/>
      </w:pPr>
      <w:r>
        <w:rPr>
          <w:b/>
          <w:color w:val="FF6200"/>
          <w:sz w:val="21"/>
        </w:rPr>
        <w:t>F8.  Wie kontrollieren wir die Kosten?</w:t>
      </w:r>
    </w:p>
    <w:p>
      <w:pPr>
        <w:spacing w:after="160"/>
        <w:ind w:left="360"/>
      </w:pPr>
      <w:r>
        <w:rPr>
          <w:sz w:val="21"/>
        </w:rPr>
        <w:t>Eingebauter Token-Verbrauchszähler pro Nutzer, dazu Azure-Budget-Alerts auf der OpenAI-Ressource; Kosten skalieren nur mit Nutzung.</w:t>
      </w:r>
    </w:p>
    <w:p>
      <w:pPr>
        <w:spacing w:after="20"/>
      </w:pPr>
      <w:r>
        <w:rPr>
          <w:b/>
          <w:color w:val="FF6200"/>
          <w:sz w:val="21"/>
        </w:rPr>
        <w:t>F9.  Was ist der Exit?</w:t>
      </w:r>
    </w:p>
    <w:p>
      <w:pPr>
        <w:spacing w:after="160"/>
        <w:ind w:left="360"/>
      </w:pPr>
      <w:r>
        <w:rPr>
          <w:sz w:val="21"/>
        </w:rPr>
        <w:t>LLM_PROVIDER=disabled schaltet die KI ab, die Extension lässt sich per Klick deinstallieren, Daten liegen ausschließlich in Bank-Ressourcen. Kein Vendor-Lock-in über Azure hinaus.</w:t>
      </w:r>
    </w:p>
    <w:p>
      <w:pPr>
        <w:spacing w:after="20"/>
      </w:pPr>
      <w:r>
        <w:rPr>
          <w:b/>
          <w:color w:val="FF6200"/>
          <w:sz w:val="21"/>
        </w:rPr>
        <w:t>F10.  Betrieb und Support?</w:t>
      </w:r>
    </w:p>
    <w:p>
      <w:pPr>
        <w:spacing w:after="160"/>
        <w:ind w:left="360"/>
      </w:pPr>
      <w:r>
        <w:rPr>
          <w:sz w:val="21"/>
        </w:rPr>
        <w:t>Serverless (Function App), kein VM-Patching; Monitoring über Application Insights; Quellcode intern und MIT-lizenziert – die Bank kann selbst weiterentwickeln.</w:t>
      </w:r>
    </w:p>
    <w:p>
      <w:pPr>
        <w:spacing w:after="20"/>
      </w:pPr>
      <w:r>
        <w:rPr>
          <w:b/>
          <w:color w:val="FF6200"/>
          <w:sz w:val="21"/>
        </w:rPr>
        <w:t>F11.  Geht das auch mit Azure DevOps Server (on-prem)?</w:t>
      </w:r>
    </w:p>
    <w:p>
      <w:pPr>
        <w:spacing w:after="160"/>
        <w:ind w:left="360"/>
      </w:pPr>
      <w:r>
        <w:rPr>
          <w:sz w:val="21"/>
        </w:rPr>
        <w:t>Aktuell auf dev.azure.com (Cloud) ausgelegt; eine On-Prem-Variante wäre ein eigenes Vorhaben.</w:t>
      </w:r>
    </w:p>
    <w:p>
      <w:pPr>
        <w:spacing w:after="20"/>
      </w:pPr>
      <w:r>
        <w:rPr>
          <w:b/>
          <w:color w:val="FF6200"/>
          <w:sz w:val="21"/>
        </w:rPr>
        <w:t>F12.  Wer haftet?</w:t>
      </w:r>
    </w:p>
    <w:p>
      <w:pPr>
        <w:spacing w:after="160"/>
        <w:ind w:left="360"/>
      </w:pPr>
      <w:r>
        <w:rPr>
          <w:sz w:val="21"/>
        </w:rPr>
        <w:t>Software wird „as is“ (MIT) übernommen und läuft als interne Anwendung der Bank; die üblichen internen Freigabeprozesse für selbstbetriebene Tools greifen.</w:t>
      </w:r>
    </w:p>
    <w:p>
      <w:pPr>
        <w:pStyle w:val="Heading1"/>
      </w:pPr>
      <w:r>
        <w:t>12. Empfohlene nächste Schritte</w:t>
      </w:r>
    </w:p>
    <w:p>
      <w:pPr>
        <w:pStyle w:val="ListNumber"/>
        <w:spacing w:after="60"/>
      </w:pPr>
      <w:r>
        <w:rPr>
          <w:b/>
          <w:sz w:val="21"/>
        </w:rPr>
        <w:t xml:space="preserve">Abstimmung: </w:t>
      </w:r>
      <w:r>
        <w:rPr>
          <w:sz w:val="21"/>
        </w:rPr>
        <w:t xml:space="preserve"> dieses Dokument mit ING-Fachbereich, Security und Datenschutz teilen.</w:t>
      </w:r>
    </w:p>
    <w:p>
      <w:pPr>
        <w:pStyle w:val="ListNumber"/>
        <w:spacing w:after="60"/>
      </w:pPr>
      <w:r>
        <w:rPr>
          <w:b/>
          <w:sz w:val="21"/>
        </w:rPr>
        <w:t xml:space="preserve">Genehmigungen starten: </w:t>
      </w:r>
      <w:r>
        <w:rPr>
          <w:sz w:val="21"/>
        </w:rPr>
        <w:t xml:space="preserve"> Azure-Subscription/Resource-Group und Azure-OpenAI-Freigabe bei der Bank anstoßen (längster Vorlauf).</w:t>
      </w:r>
    </w:p>
    <w:p>
      <w:pPr>
        <w:pStyle w:val="ListNumber"/>
        <w:spacing w:after="60"/>
      </w:pPr>
      <w:r>
        <w:rPr>
          <w:b/>
          <w:sz w:val="21"/>
        </w:rPr>
        <w:t xml:space="preserve">Repo: </w:t>
      </w:r>
      <w:r>
        <w:rPr>
          <w:sz w:val="21"/>
        </w:rPr>
        <w:t xml:space="preserve"> Quellcode in ein internes Bank-Repo übernehmen (Azure Repos empfohlen).</w:t>
      </w:r>
    </w:p>
    <w:p>
      <w:pPr>
        <w:pStyle w:val="ListNumber"/>
        <w:spacing w:after="60"/>
      </w:pPr>
      <w:r>
        <w:rPr>
          <w:b/>
          <w:sz w:val="21"/>
        </w:rPr>
        <w:t xml:space="preserve">Härtung: </w:t>
      </w:r>
      <w:r>
        <w:rPr>
          <w:sz w:val="21"/>
        </w:rPr>
        <w:t xml:space="preserve"> die fünf Security-Härtungspunkte (M-1 bis M-5) vor Go-Live umsetzen und verifizieren.</w:t>
      </w:r>
    </w:p>
    <w:p>
      <w:pPr>
        <w:pStyle w:val="ListNumber"/>
        <w:spacing w:after="60"/>
      </w:pPr>
      <w:r>
        <w:rPr>
          <w:b/>
          <w:sz w:val="21"/>
        </w:rPr>
        <w:t xml:space="preserve">Pilot: </w:t>
      </w:r>
      <w:r>
        <w:rPr>
          <w:sz w:val="21"/>
        </w:rPr>
        <w:t xml:space="preserve"> Pilot mit einem Team über 2–4 Wochen, mit Kosten- und Nutzenmessung.</w:t>
      </w:r>
    </w:p>
    <w:p>
      <w:pPr>
        <w:pBdr>
          <w:bottom w:val="single" w:sz="6" w:space="1" w:color="FF6200"/>
        </w:pBdr>
      </w:pPr>
    </w:p>
    <w:p>
      <w:pPr>
        <w:spacing w:after="120"/>
        <w:jc w:val="center"/>
      </w:pPr>
      <w:r>
        <w:rPr>
          <w:b w:val="0"/>
          <w:i/>
          <w:color w:val="595959"/>
          <w:sz w:val="17"/>
        </w:rPr>
        <w:t>QualityGate AI · Vorstellung für die ING Bank · Stand 08.07.2026 · Vertraulich – nur zur internen Verwendung.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QualityGate AI – ING-Vorstellung   |  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62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