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FF6200"/>
          <w:sz w:val="76"/>
        </w:rPr>
        <w:t>QualityGate AI</w:t>
      </w:r>
    </w:p>
    <w:p>
      <w:pPr>
        <w:jc w:val="center"/>
      </w:pPr>
      <w:r>
        <w:rPr>
          <w:color w:val="1A1A1A"/>
          <w:sz w:val="36"/>
        </w:rPr>
        <w:t>Lösungsüberblick für die ING Bank</w:t>
      </w:r>
    </w:p>
    <w:p>
      <w:pPr>
        <w:jc w:val="center"/>
      </w:pPr>
      <w:r>
        <w:rPr>
          <w:i/>
          <w:color w:val="595959"/>
          <w:sz w:val="25"/>
        </w:rPr>
        <w:t>Mehr Anforderungs- und Testfallqualität</w:t>
        <w:br/>
        <w:t>direkt in Azure Boards – ohne zusätzliches Werkzeug</w:t>
      </w:r>
    </w:p>
    <w:p/>
    <w:p/>
    <w:tbl>
      <w:tblPr>
        <w:tblW w:type="auto" w:w="0"/>
        <w:jc w:val="center"/>
        <w:tblLook w:firstColumn="1" w:firstRow="1" w:lastColumn="0" w:lastRow="0" w:noHBand="0" w:noVBand="1" w:val="04A0"/>
      </w:tblPr>
      <w:tblGrid>
        <w:gridCol w:w="4320"/>
        <w:gridCol w:w="4320"/>
      </w:tblGrid>
      <w:tr>
        <w:tc>
          <w:tcPr>
            <w:tcW w:type="dxa" w:w="2736"/>
            <w:shd w:val="clear" w:color="auto" w:fill="F2F2F2"/>
          </w:tcPr>
          <w:p>
            <w:pPr>
              <w:spacing w:after="40" w:before="40"/>
            </w:pPr>
            <w:r/>
            <w:r>
              <w:rPr>
                <w:rFonts w:ascii="Calibri" w:hAnsi="Calibri"/>
                <w:b/>
                <w:sz w:val="20"/>
              </w:rPr>
              <w:t>Dokument</w:t>
            </w:r>
          </w:p>
        </w:tc>
        <w:tc>
          <w:tcPr>
            <w:tcW w:type="dxa" w:w="6336"/>
          </w:tcPr>
          <w:p>
            <w:pPr>
              <w:spacing w:after="40" w:before="40"/>
            </w:pPr>
            <w:r/>
            <w:r>
              <w:rPr>
                <w:rFonts w:ascii="Calibri" w:hAnsi="Calibri"/>
                <w:b w:val="0"/>
                <w:sz w:val="20"/>
              </w:rPr>
              <w:t>Lösungs- und Vorgehensüberblick für Fachbereich, Testmanagement &amp; IT-Security</w:t>
            </w:r>
          </w:p>
        </w:tc>
      </w:tr>
      <w:tr>
        <w:tc>
          <w:tcPr>
            <w:tcW w:type="dxa" w:w="2736"/>
            <w:shd w:val="clear" w:color="auto" w:fill="F2F2F2"/>
          </w:tcPr>
          <w:p>
            <w:pPr>
              <w:spacing w:after="40" w:before="40"/>
            </w:pPr>
            <w:r/>
            <w:r>
              <w:rPr>
                <w:rFonts w:ascii="Calibri" w:hAnsi="Calibri"/>
                <w:b/>
                <w:sz w:val="20"/>
              </w:rPr>
              <w:t>Gegenstand</w:t>
            </w:r>
          </w:p>
        </w:tc>
        <w:tc>
          <w:tcPr>
            <w:tcW w:type="dxa" w:w="6336"/>
          </w:tcPr>
          <w:p>
            <w:pPr>
              <w:spacing w:after="40" w:before="40"/>
            </w:pPr>
            <w:r/>
            <w:r>
              <w:rPr>
                <w:rFonts w:ascii="Calibri" w:hAnsi="Calibri"/>
                <w:b w:val="0"/>
                <w:sz w:val="20"/>
              </w:rPr>
              <w:t>Einführung eines Quality Gates für Anforderungen und Testfälle in Azure Boards</w:t>
            </w:r>
          </w:p>
        </w:tc>
      </w:tr>
      <w:tr>
        <w:tc>
          <w:tcPr>
            <w:tcW w:type="dxa" w:w="2736"/>
            <w:shd w:val="clear" w:color="auto" w:fill="F2F2F2"/>
          </w:tcPr>
          <w:p>
            <w:pPr>
              <w:spacing w:after="40" w:before="40"/>
            </w:pPr>
            <w:r/>
            <w:r>
              <w:rPr>
                <w:rFonts w:ascii="Calibri" w:hAnsi="Calibri"/>
                <w:b/>
                <w:sz w:val="20"/>
              </w:rPr>
              <w:t>Status der Lösung</w:t>
            </w:r>
          </w:p>
        </w:tc>
        <w:tc>
          <w:tcPr>
            <w:tcW w:type="dxa" w:w="6336"/>
          </w:tcPr>
          <w:p>
            <w:pPr>
              <w:spacing w:after="40" w:before="40"/>
            </w:pPr>
            <w:r/>
            <w:r>
              <w:rPr>
                <w:rFonts w:ascii="Calibri" w:hAnsi="Calibri"/>
                <w:b w:val="0"/>
                <w:sz w:val="20"/>
              </w:rPr>
              <w:t>Lauffähiger Prototyp – im Azure-Tenant der Bank betreibbar</w:t>
            </w:r>
          </w:p>
        </w:tc>
      </w:tr>
      <w:tr>
        <w:tc>
          <w:tcPr>
            <w:tcW w:type="dxa" w:w="2736"/>
            <w:shd w:val="clear" w:color="auto" w:fill="F2F2F2"/>
          </w:tcPr>
          <w:p>
            <w:pPr>
              <w:spacing w:after="40" w:before="40"/>
            </w:pPr>
            <w:r/>
            <w:r>
              <w:rPr>
                <w:rFonts w:ascii="Calibri" w:hAnsi="Calibri"/>
                <w:b/>
                <w:sz w:val="20"/>
              </w:rPr>
              <w:t>Stand</w:t>
            </w:r>
          </w:p>
        </w:tc>
        <w:tc>
          <w:tcPr>
            <w:tcW w:type="dxa" w:w="6336"/>
          </w:tcPr>
          <w:p>
            <w:pPr>
              <w:spacing w:after="40" w:before="40"/>
            </w:pPr>
            <w:r/>
            <w:r>
              <w:rPr>
                <w:rFonts w:ascii="Calibri" w:hAnsi="Calibri"/>
                <w:b w:val="0"/>
                <w:sz w:val="20"/>
              </w:rPr>
              <w:t>08.07.2026</w:t>
            </w:r>
          </w:p>
        </w:tc>
      </w:tr>
    </w:tbl>
    <w:p>
      <w:r>
        <w:br w:type="page"/>
      </w:r>
    </w:p>
    <w:p>
      <w:pPr>
        <w:pStyle w:val="Heading1"/>
      </w:pPr>
      <w:r>
        <w:t>Inhalt</w:t>
      </w:r>
    </w:p>
    <w:p>
      <w:pPr>
        <w:spacing w:after="60"/>
      </w:pPr>
      <w:r>
        <w:rPr>
          <w:b/>
          <w:color w:val="FF6200"/>
          <w:sz w:val="21"/>
        </w:rPr>
        <w:t xml:space="preserve">1.  </w:t>
      </w:r>
      <w:r>
        <w:rPr>
          <w:sz w:val="21"/>
        </w:rPr>
        <w:t>Ausgangslage: Warum Anforderungs- und Testfallqualität heute Zeit kostet</w:t>
      </w:r>
    </w:p>
    <w:p>
      <w:pPr>
        <w:spacing w:after="60"/>
      </w:pPr>
      <w:r>
        <w:rPr>
          <w:b/>
          <w:color w:val="FF6200"/>
          <w:sz w:val="21"/>
        </w:rPr>
        <w:t xml:space="preserve">2.  </w:t>
      </w:r>
      <w:r>
        <w:rPr>
          <w:sz w:val="21"/>
        </w:rPr>
        <w:t>Die Lösung: Qualitätsprüfung direkt im Work Item</w:t>
      </w:r>
    </w:p>
    <w:p>
      <w:pPr>
        <w:spacing w:after="60"/>
      </w:pPr>
      <w:r>
        <w:rPr>
          <w:b/>
          <w:color w:val="FF6200"/>
          <w:sz w:val="21"/>
        </w:rPr>
        <w:t xml:space="preserve">3.  </w:t>
      </w:r>
      <w:r>
        <w:rPr>
          <w:sz w:val="21"/>
        </w:rPr>
        <w:t>Der Nutzen für die ING</w:t>
      </w:r>
    </w:p>
    <w:p>
      <w:pPr>
        <w:spacing w:after="60"/>
      </w:pPr>
      <w:r>
        <w:rPr>
          <w:b/>
          <w:color w:val="FF6200"/>
          <w:sz w:val="21"/>
        </w:rPr>
        <w:t xml:space="preserve">4.  </w:t>
      </w:r>
      <w:r>
        <w:rPr>
          <w:sz w:val="21"/>
        </w:rPr>
        <w:t>Betrieb im eigenen Azure-Tenant der Bank</w:t>
      </w:r>
    </w:p>
    <w:p>
      <w:pPr>
        <w:spacing w:after="60"/>
      </w:pPr>
      <w:r>
        <w:rPr>
          <w:b/>
          <w:color w:val="FF6200"/>
          <w:sz w:val="21"/>
        </w:rPr>
        <w:t xml:space="preserve">5.  </w:t>
      </w:r>
      <w:r>
        <w:rPr>
          <w:sz w:val="21"/>
        </w:rPr>
        <w:t>Datenschutz und Datenverarbeitung</w:t>
      </w:r>
    </w:p>
    <w:p>
      <w:pPr>
        <w:spacing w:after="60"/>
      </w:pPr>
      <w:r>
        <w:rPr>
          <w:b/>
          <w:color w:val="FF6200"/>
          <w:sz w:val="21"/>
        </w:rPr>
        <w:t xml:space="preserve">6.  </w:t>
      </w:r>
      <w:r>
        <w:rPr>
          <w:sz w:val="21"/>
        </w:rPr>
        <w:t>Vorgehen für einen Pilotbetrieb</w:t>
      </w:r>
    </w:p>
    <w:p>
      <w:pPr>
        <w:spacing w:after="60"/>
      </w:pPr>
      <w:r>
        <w:rPr>
          <w:b/>
          <w:color w:val="FF6200"/>
          <w:sz w:val="21"/>
        </w:rPr>
        <w:t xml:space="preserve">7.  </w:t>
      </w:r>
      <w:r>
        <w:rPr>
          <w:sz w:val="21"/>
        </w:rPr>
        <w:t>Zeitrahmen und Investition</w:t>
      </w:r>
    </w:p>
    <w:p>
      <w:pPr>
        <w:spacing w:after="60"/>
      </w:pPr>
      <w:r>
        <w:rPr>
          <w:b/>
          <w:color w:val="FF6200"/>
          <w:sz w:val="21"/>
        </w:rPr>
        <w:t xml:space="preserve">8.  </w:t>
      </w:r>
      <w:r>
        <w:rPr>
          <w:sz w:val="21"/>
        </w:rPr>
        <w:t>Security-Assessment</w:t>
      </w:r>
    </w:p>
    <w:p>
      <w:pPr>
        <w:spacing w:after="60"/>
      </w:pPr>
      <w:r>
        <w:rPr>
          <w:b/>
          <w:color w:val="FF6200"/>
          <w:sz w:val="21"/>
        </w:rPr>
        <w:t xml:space="preserve">9.  </w:t>
      </w:r>
      <w:r>
        <w:rPr>
          <w:sz w:val="21"/>
        </w:rPr>
        <w:t>Unser Beitrag als Beratung</w:t>
      </w:r>
    </w:p>
    <w:p>
      <w:pPr>
        <w:spacing w:after="60"/>
      </w:pPr>
      <w:r>
        <w:rPr>
          <w:b/>
          <w:color w:val="FF6200"/>
          <w:sz w:val="21"/>
        </w:rPr>
        <w:t xml:space="preserve">10.  </w:t>
      </w:r>
      <w:r>
        <w:rPr>
          <w:sz w:val="21"/>
        </w:rPr>
        <w:t>Erwartbare Fragen der ING – mit Antworten</w:t>
      </w:r>
    </w:p>
    <w:p>
      <w:r>
        <w:br w:type="page"/>
      </w:r>
    </w:p>
    <w:p>
      <w:pPr>
        <w:pStyle w:val="Heading1"/>
      </w:pPr>
      <w:r>
        <w:t>1. Ausgangslage: Warum Anforderungs- und Testfallqualität heute Zeit kostet</w:t>
      </w:r>
    </w:p>
    <w:p>
      <w:pPr>
        <w:spacing w:after="120"/>
      </w:pPr>
      <w:r>
        <w:rPr>
          <w:b w:val="0"/>
          <w:i w:val="0"/>
          <w:sz w:val="21"/>
        </w:rPr>
        <w:t>User Stories werden häufig mit unklaren oder unvollständigen Anforderungen angelegt: Akzeptanzkriterien fehlen, Beschreibungen sind mehrdeutig, ähnliche Anforderungen werden doppelt erfasst. Zu jeder Story müssen zudem passende Testfälle erstellt werden.</w:t>
      </w:r>
    </w:p>
    <w:p>
      <w:pPr>
        <w:spacing w:after="120"/>
      </w:pPr>
      <w:r>
        <w:rPr>
          <w:b w:val="0"/>
          <w:i w:val="0"/>
          <w:sz w:val="21"/>
        </w:rPr>
        <w:t>In der Praxis läuft das oft über einen Umweg: Der Story-Text wird in ein separates KI-Werkzeug kopiert, das Ergebnis zurückkopiert und der Testfall anschließend von Hand angelegt. Das kostet Zeit, ist fehleranfällig und der Bruch zwischen mehreren Werkzeugen führt dazu, dass Qualitätslücken erst spät auffallen – im Review, in der Entwicklung oder im Test, wo ihre Behebung deutlich teurer ist als beim Anlegen der Anforderung.</w:t>
      </w:r>
    </w:p>
    <w:p>
      <w:pPr>
        <w:pStyle w:val="Heading1"/>
      </w:pPr>
      <w:r>
        <w:t>2. Die Lösung: Qualitätsprüfung direkt im Work Item</w:t>
      </w:r>
    </w:p>
    <w:p>
      <w:pPr>
        <w:spacing w:after="120"/>
      </w:pPr>
      <w:r>
        <w:rPr>
          <w:b w:val="0"/>
          <w:i w:val="0"/>
          <w:sz w:val="21"/>
        </w:rPr>
        <w:t>QualityGate AI setzt genau an dieser Stelle an – als Erweiterung (Extension) direkt im Work-Item-Formular von Azure Boards. Es ist kein separates Werkzeug und erfordert keinen Kontextwechsel: Die Prüfung findet dort statt, wo die Anforderung ohnehin entsteht.</w:t>
      </w:r>
    </w:p>
    <w:p>
      <w:pPr>
        <w:spacing w:after="120"/>
      </w:pPr>
      <w:r>
        <w:rPr>
          <w:b w:val="0"/>
          <w:i w:val="0"/>
          <w:sz w:val="21"/>
        </w:rPr>
        <w:t>Die Lösung liegt als lauffähiger Prototyp vor und lässt sich im Azure-Tenant der Bank betreiben. Sie bietet vier Funktionen:</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FF6200"/>
          </w:tcPr>
          <w:p>
            <w:pPr>
              <w:spacing w:after="40" w:before="40"/>
            </w:pPr>
            <w:r/>
            <w:r>
              <w:rPr>
                <w:rFonts w:ascii="Calibri" w:hAnsi="Calibri"/>
                <w:b/>
                <w:color w:val="FFFFFF"/>
                <w:sz w:val="19"/>
              </w:rPr>
              <w:t>Funktion</w:t>
            </w:r>
          </w:p>
        </w:tc>
        <w:tc>
          <w:tcPr>
            <w:tcW w:type="dxa" w:w="4752"/>
            <w:shd w:val="clear" w:color="auto" w:fill="FF6200"/>
          </w:tcPr>
          <w:p>
            <w:pPr>
              <w:spacing w:after="40" w:before="40"/>
            </w:pPr>
            <w:r/>
            <w:r>
              <w:rPr>
                <w:rFonts w:ascii="Calibri" w:hAnsi="Calibri"/>
                <w:b/>
                <w:color w:val="FFFFFF"/>
                <w:sz w:val="19"/>
              </w:rPr>
              <w:t>Was passiert</w:t>
            </w:r>
          </w:p>
        </w:tc>
        <w:tc>
          <w:tcPr>
            <w:tcW w:type="dxa" w:w="2448"/>
            <w:shd w:val="clear" w:color="auto" w:fill="FF6200"/>
          </w:tcPr>
          <w:p>
            <w:pPr>
              <w:spacing w:after="40" w:before="40"/>
            </w:pPr>
            <w:r/>
            <w:r>
              <w:rPr>
                <w:rFonts w:ascii="Calibri" w:hAnsi="Calibri"/>
                <w:b/>
                <w:color w:val="FFFFFF"/>
                <w:sz w:val="19"/>
              </w:rPr>
              <w:t>Ergebnis</w:t>
            </w:r>
          </w:p>
        </w:tc>
      </w:tr>
      <w:tr>
        <w:tc>
          <w:tcPr>
            <w:tcW w:type="dxa" w:w="2304"/>
          </w:tcPr>
          <w:p>
            <w:pPr>
              <w:spacing w:after="40" w:before="40"/>
            </w:pPr>
            <w:r/>
            <w:r>
              <w:rPr>
                <w:rFonts w:ascii="Calibri" w:hAnsi="Calibri"/>
                <w:b w:val="0"/>
                <w:sz w:val="19"/>
              </w:rPr>
              <w:t>Qualitätsanalyse</w:t>
            </w:r>
          </w:p>
        </w:tc>
        <w:tc>
          <w:tcPr>
            <w:tcW w:type="dxa" w:w="4752"/>
          </w:tcPr>
          <w:p>
            <w:pPr>
              <w:spacing w:after="40" w:before="40"/>
            </w:pPr>
            <w:r/>
            <w:r>
              <w:rPr>
                <w:rFonts w:ascii="Calibri" w:hAnsi="Calibri"/>
                <w:b w:val="0"/>
                <w:sz w:val="19"/>
              </w:rPr>
              <w:t>Prüft Beschreibung und Akzeptanzkriterien KI-gestützt gegen ein konfigurierbares Regelset.</w:t>
            </w:r>
          </w:p>
        </w:tc>
        <w:tc>
          <w:tcPr>
            <w:tcW w:type="dxa" w:w="2448"/>
          </w:tcPr>
          <w:p>
            <w:pPr>
              <w:spacing w:after="40" w:before="40"/>
            </w:pPr>
            <w:r/>
            <w:r>
              <w:rPr>
                <w:rFonts w:ascii="Calibri" w:hAnsi="Calibri"/>
                <w:b w:val="0"/>
                <w:sz w:val="19"/>
              </w:rPr>
              <w:t>Qualitäts-Score und konkrete Befunde</w:t>
            </w:r>
          </w:p>
        </w:tc>
      </w:tr>
      <w:tr>
        <w:tc>
          <w:tcPr>
            <w:tcW w:type="dxa" w:w="2304"/>
            <w:shd w:val="clear" w:color="auto" w:fill="FCE9DC"/>
          </w:tcPr>
          <w:p>
            <w:pPr>
              <w:spacing w:after="40" w:before="40"/>
            </w:pPr>
            <w:r/>
            <w:r>
              <w:rPr>
                <w:rFonts w:ascii="Calibri" w:hAnsi="Calibri"/>
                <w:b w:val="0"/>
                <w:sz w:val="19"/>
              </w:rPr>
              <w:t>Verbesserungsvorschläge</w:t>
            </w:r>
          </w:p>
        </w:tc>
        <w:tc>
          <w:tcPr>
            <w:tcW w:type="dxa" w:w="4752"/>
            <w:shd w:val="clear" w:color="auto" w:fill="FCE9DC"/>
          </w:tcPr>
          <w:p>
            <w:pPr>
              <w:spacing w:after="40" w:before="40"/>
            </w:pPr>
            <w:r/>
            <w:r>
              <w:rPr>
                <w:rFonts w:ascii="Calibri" w:hAnsi="Calibri"/>
                <w:b w:val="0"/>
                <w:sz w:val="19"/>
              </w:rPr>
              <w:t>Formuliert je Befund einen konkreten Vorschlag; der Nutzer prüft und übernimmt.</w:t>
            </w:r>
          </w:p>
        </w:tc>
        <w:tc>
          <w:tcPr>
            <w:tcW w:type="dxa" w:w="2448"/>
            <w:shd w:val="clear" w:color="auto" w:fill="FCE9DC"/>
          </w:tcPr>
          <w:p>
            <w:pPr>
              <w:spacing w:after="40" w:before="40"/>
            </w:pPr>
            <w:r/>
            <w:r>
              <w:rPr>
                <w:rFonts w:ascii="Calibri" w:hAnsi="Calibri"/>
                <w:b w:val="0"/>
                <w:sz w:val="19"/>
              </w:rPr>
              <w:t>Klarere Anforderung</w:t>
            </w:r>
          </w:p>
        </w:tc>
      </w:tr>
      <w:tr>
        <w:tc>
          <w:tcPr>
            <w:tcW w:type="dxa" w:w="2304"/>
          </w:tcPr>
          <w:p>
            <w:pPr>
              <w:spacing w:after="40" w:before="40"/>
            </w:pPr>
            <w:r/>
            <w:r>
              <w:rPr>
                <w:rFonts w:ascii="Calibri" w:hAnsi="Calibri"/>
                <w:b w:val="0"/>
                <w:sz w:val="19"/>
              </w:rPr>
              <w:t>Duplikaterkennung</w:t>
            </w:r>
          </w:p>
        </w:tc>
        <w:tc>
          <w:tcPr>
            <w:tcW w:type="dxa" w:w="4752"/>
          </w:tcPr>
          <w:p>
            <w:pPr>
              <w:spacing w:after="40" w:before="40"/>
            </w:pPr>
            <w:r/>
            <w:r>
              <w:rPr>
                <w:rFonts w:ascii="Calibri" w:hAnsi="Calibri"/>
                <w:b w:val="0"/>
                <w:sz w:val="19"/>
              </w:rPr>
              <w:t>Findet ähnliche Work Items im Projekt.</w:t>
            </w:r>
          </w:p>
        </w:tc>
        <w:tc>
          <w:tcPr>
            <w:tcW w:type="dxa" w:w="2448"/>
          </w:tcPr>
          <w:p>
            <w:pPr>
              <w:spacing w:after="40" w:before="40"/>
            </w:pPr>
            <w:r/>
            <w:r>
              <w:rPr>
                <w:rFonts w:ascii="Calibri" w:hAnsi="Calibri"/>
                <w:b w:val="0"/>
                <w:sz w:val="19"/>
              </w:rPr>
              <w:t>Weniger doppelt erfasste Anforderungen</w:t>
            </w:r>
          </w:p>
        </w:tc>
      </w:tr>
      <w:tr>
        <w:tc>
          <w:tcPr>
            <w:tcW w:type="dxa" w:w="2304"/>
            <w:shd w:val="clear" w:color="auto" w:fill="FCE9DC"/>
          </w:tcPr>
          <w:p>
            <w:pPr>
              <w:spacing w:after="40" w:before="40"/>
            </w:pPr>
            <w:r/>
            <w:r>
              <w:rPr>
                <w:rFonts w:ascii="Calibri" w:hAnsi="Calibri"/>
                <w:b w:val="0"/>
                <w:sz w:val="19"/>
              </w:rPr>
              <w:t>Testfall-Generierung</w:t>
            </w:r>
          </w:p>
        </w:tc>
        <w:tc>
          <w:tcPr>
            <w:tcW w:type="dxa" w:w="4752"/>
            <w:shd w:val="clear" w:color="auto" w:fill="FCE9DC"/>
          </w:tcPr>
          <w:p>
            <w:pPr>
              <w:spacing w:after="40" w:before="40"/>
            </w:pPr>
            <w:r/>
            <w:r>
              <w:rPr>
                <w:rFonts w:ascii="Calibri" w:hAnsi="Calibri"/>
                <w:b w:val="0"/>
                <w:sz w:val="19"/>
              </w:rPr>
              <w:t>Leitet Testfälle aus den Akzeptanzkriterien ab und legt sie als Test-Case-Work-Items an, verknüpft über „Tested By“.</w:t>
            </w:r>
          </w:p>
        </w:tc>
        <w:tc>
          <w:tcPr>
            <w:tcW w:type="dxa" w:w="2448"/>
            <w:shd w:val="clear" w:color="auto" w:fill="FCE9DC"/>
          </w:tcPr>
          <w:p>
            <w:pPr>
              <w:spacing w:after="40" w:before="40"/>
            </w:pPr>
            <w:r/>
            <w:r>
              <w:rPr>
                <w:rFonts w:ascii="Calibri" w:hAnsi="Calibri"/>
                <w:b w:val="0"/>
                <w:sz w:val="19"/>
              </w:rPr>
              <w:t>Nachvollziehbare Testabdeckung</w:t>
            </w:r>
          </w:p>
        </w:tc>
      </w:tr>
    </w:tbl>
    <w:p/>
    <w:p>
      <w:pPr>
        <w:pStyle w:val="Heading1"/>
      </w:pPr>
      <w:r>
        <w:t>3. Der Nutzen für die ING</w:t>
      </w:r>
    </w:p>
    <w:p>
      <w:pPr>
        <w:pStyle w:val="Heading2"/>
      </w:pPr>
      <w:r>
        <w:t>Weniger manuelle Nacharbeit pro User Story</w:t>
      </w:r>
    </w:p>
    <w:p>
      <w:pPr>
        <w:spacing w:after="120"/>
      </w:pPr>
      <w:r>
        <w:rPr>
          <w:b w:val="0"/>
          <w:i w:val="0"/>
          <w:sz w:val="21"/>
        </w:rPr>
        <w:t>Testfälle entstehen in wenigen Minuten Prüf- und Freigabeaufwand statt in einer manuellen Nacharbeit. Erfahrungsgemäß fallen für das manuelle Erstellen und Verknüpfen von Testfällen je Story rund 15–30 Minuten an; mit QualityGate AI reduziert sich das auf wenige Minuten. Bei einem Team mit beispielsweise 20–40 Stories pro Sprint summiert sich das zu mehreren eingesparten Stunden je Sprint. (Richtwerte – die konkrete Ersparnis messen wir im Pilotbetrieb.)</w:t>
      </w:r>
    </w:p>
    <w:p>
      <w:pPr>
        <w:pStyle w:val="Heading2"/>
      </w:pPr>
      <w:r>
        <w:t>Kein Werkzeugwechsel – eine Extension für das Testmanagement</w:t>
      </w:r>
    </w:p>
    <w:p>
      <w:pPr>
        <w:spacing w:after="120"/>
      </w:pPr>
      <w:r>
        <w:rPr>
          <w:b w:val="0"/>
          <w:i w:val="0"/>
          <w:sz w:val="21"/>
        </w:rPr>
        <w:t>Analyse, Vorschläge und Testfall-Generierung laufen vollständig im Work-Item-Formular. Das Testmanagement bleibt in Azure Boards; es entfällt das Kopieren zwischen mehreren Werkzeugen und damit eine häufige Fehlerquelle.</w:t>
      </w:r>
    </w:p>
    <w:p>
      <w:pPr>
        <w:pStyle w:val="Heading2"/>
      </w:pPr>
      <w:r>
        <w:t>Datenschutzkomfort ab Werk</w:t>
      </w:r>
    </w:p>
    <w:p>
      <w:pPr>
        <w:spacing w:after="120"/>
      </w:pPr>
      <w:r>
        <w:rPr>
          <w:b w:val="0"/>
          <w:i w:val="0"/>
          <w:sz w:val="21"/>
        </w:rPr>
        <w:t>Der Betrieb ist so ausgelegt, dass Inhalte den Azure-Tenant und die EU-Region nicht verlassen und keine Zugangsschlüssel im Klartext in der Anwendung liegen (Details in Abschnitt 5). Datenschutz ist damit kein nachträglicher Aufwand, sondern Teil des Betriebsmodells.</w:t>
      </w:r>
    </w:p>
    <w:p>
      <w:pPr>
        <w:pStyle w:val="Heading2"/>
      </w:pPr>
      <w:r>
        <w:t>Nachvollziehbarkeit von der Anforderung bis zum Testfall</w:t>
      </w:r>
    </w:p>
    <w:p>
      <w:pPr>
        <w:spacing w:after="120"/>
      </w:pPr>
      <w:r>
        <w:rPr>
          <w:b w:val="0"/>
          <w:i w:val="0"/>
          <w:sz w:val="21"/>
        </w:rPr>
        <w:t>Jeder generierte Testfall wird über die Beziehung „Tested By“ mit der Anforderung verknüpft und merkt sich, aus welchem Akzeptanzkriterium er stammt. So ist durchgängig nachvollziehbar, welche Anforderung durch welchen Testfall abgedeckt ist.</w:t>
      </w:r>
    </w:p>
    <w:p>
      <w:pPr>
        <w:pStyle w:val="Heading2"/>
      </w:pPr>
      <w:r>
        <w:t>Der Mensch entscheidet</w:t>
      </w:r>
    </w:p>
    <w:p>
      <w:pPr>
        <w:spacing w:after="120"/>
      </w:pPr>
      <w:r>
        <w:rPr>
          <w:b w:val="0"/>
          <w:i w:val="0"/>
          <w:sz w:val="21"/>
        </w:rPr>
        <w:t>Die KI erstellt Vorschläge, legt aber nie selbstständig etwas an und ändert nichts automatisch. Generieren und Übernehmen sind getrennte Schritte; jede Übernahme ist eine bewusste Nutzeraktion und wird protokolliert.</w:t>
      </w:r>
    </w:p>
    <w:p>
      <w:pPr>
        <w:pStyle w:val="Heading1"/>
      </w:pPr>
      <w:r>
        <w:t>4. Betrieb im eigenen Azure-Tenant der Bank</w:t>
      </w:r>
    </w:p>
    <w:p>
      <w:pPr>
        <w:spacing w:after="120"/>
      </w:pPr>
      <w:r>
        <w:rPr>
          <w:b w:val="0"/>
          <w:i w:val="0"/>
          <w:sz w:val="21"/>
        </w:rPr>
        <w:t>Der Betrieb erfolgt vollständig im Azure-Tenant der ING. Es gibt keinen externen SaaS-Dienst und keinen Fremd-Betreiber. Im Kern werden drei Azure-Ressourcen benötigt:</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F6200"/>
          </w:tcPr>
          <w:p>
            <w:pPr>
              <w:spacing w:after="40" w:before="40"/>
            </w:pPr>
            <w:r/>
            <w:r>
              <w:rPr>
                <w:rFonts w:ascii="Calibri" w:hAnsi="Calibri"/>
                <w:b/>
                <w:color w:val="FFFFFF"/>
                <w:sz w:val="19"/>
              </w:rPr>
              <w:t>Ressource</w:t>
            </w:r>
          </w:p>
        </w:tc>
        <w:tc>
          <w:tcPr>
            <w:tcW w:type="dxa" w:w="6624"/>
            <w:shd w:val="clear" w:color="auto" w:fill="FF6200"/>
          </w:tcPr>
          <w:p>
            <w:pPr>
              <w:spacing w:after="40" w:before="40"/>
            </w:pPr>
            <w:r/>
            <w:r>
              <w:rPr>
                <w:rFonts w:ascii="Calibri" w:hAnsi="Calibri"/>
                <w:b/>
                <w:color w:val="FFFFFF"/>
                <w:sz w:val="19"/>
              </w:rPr>
              <w:t>Aufgabe</w:t>
            </w:r>
          </w:p>
        </w:tc>
      </w:tr>
      <w:tr>
        <w:tc>
          <w:tcPr>
            <w:tcW w:type="dxa" w:w="2736"/>
          </w:tcPr>
          <w:p>
            <w:pPr>
              <w:spacing w:after="40" w:before="40"/>
            </w:pPr>
            <w:r/>
            <w:r>
              <w:rPr>
                <w:rFonts w:ascii="Calibri" w:hAnsi="Calibri"/>
                <w:b w:val="0"/>
                <w:sz w:val="19"/>
              </w:rPr>
              <w:t>Azure Function App</w:t>
            </w:r>
          </w:p>
        </w:tc>
        <w:tc>
          <w:tcPr>
            <w:tcW w:type="dxa" w:w="6624"/>
          </w:tcPr>
          <w:p>
            <w:pPr>
              <w:spacing w:after="40" w:before="40"/>
            </w:pPr>
            <w:r/>
            <w:r>
              <w:rPr>
                <w:rFonts w:ascii="Calibri" w:hAnsi="Calibri"/>
                <w:b w:val="0"/>
                <w:sz w:val="19"/>
              </w:rPr>
              <w:t>Das Backend. Hier läuft die Anwendungslogik. Anfragen aus der Extension (z. B. „Work Item analysieren“) werden von der Function App verarbeitet.</w:t>
            </w:r>
          </w:p>
        </w:tc>
      </w:tr>
      <w:tr>
        <w:tc>
          <w:tcPr>
            <w:tcW w:type="dxa" w:w="2736"/>
            <w:shd w:val="clear" w:color="auto" w:fill="FCE9DC"/>
          </w:tcPr>
          <w:p>
            <w:pPr>
              <w:spacing w:after="40" w:before="40"/>
            </w:pPr>
            <w:r/>
            <w:r>
              <w:rPr>
                <w:rFonts w:ascii="Calibri" w:hAnsi="Calibri"/>
                <w:b w:val="0"/>
                <w:sz w:val="19"/>
              </w:rPr>
              <w:t>Storage Account</w:t>
            </w:r>
          </w:p>
        </w:tc>
        <w:tc>
          <w:tcPr>
            <w:tcW w:type="dxa" w:w="6624"/>
            <w:shd w:val="clear" w:color="auto" w:fill="FCE9DC"/>
          </w:tcPr>
          <w:p>
            <w:pPr>
              <w:spacing w:after="40" w:before="40"/>
            </w:pPr>
            <w:r/>
            <w:r>
              <w:rPr>
                <w:rFonts w:ascii="Calibri" w:hAnsi="Calibri"/>
                <w:b w:val="0"/>
                <w:sz w:val="19"/>
              </w:rPr>
              <w:t>Ablage für Ergebnisse und Zustand (Analysen, Regelsets, Protokolle). Zugleich Pflichtkomponente jeder Azure Function App.</w:t>
            </w:r>
          </w:p>
        </w:tc>
      </w:tr>
      <w:tr>
        <w:tc>
          <w:tcPr>
            <w:tcW w:type="dxa" w:w="2736"/>
          </w:tcPr>
          <w:p>
            <w:pPr>
              <w:spacing w:after="40" w:before="40"/>
            </w:pPr>
            <w:r/>
            <w:r>
              <w:rPr>
                <w:rFonts w:ascii="Calibri" w:hAnsi="Calibri"/>
                <w:b w:val="0"/>
                <w:sz w:val="19"/>
              </w:rPr>
              <w:t>Azure OpenAI (EU-Region)</w:t>
            </w:r>
          </w:p>
        </w:tc>
        <w:tc>
          <w:tcPr>
            <w:tcW w:type="dxa" w:w="6624"/>
          </w:tcPr>
          <w:p>
            <w:pPr>
              <w:spacing w:after="40" w:before="40"/>
            </w:pPr>
            <w:r/>
            <w:r>
              <w:rPr>
                <w:rFonts w:ascii="Calibri" w:hAnsi="Calibri"/>
                <w:b w:val="0"/>
                <w:sz w:val="19"/>
              </w:rPr>
              <w:t>Das KI-Modell, das die Analyse und Textgenerierung übernimmt – innerhalb der EU-Region, ohne dass Bankdaten die EU verlassen.</w:t>
            </w:r>
          </w:p>
        </w:tc>
      </w:tr>
    </w:tbl>
    <w:p/>
    <w:tbl>
      <w:tblPr>
        <w:tblW w:type="auto" w:w="0"/>
        <w:jc w:val="center"/>
        <w:tblLook w:firstColumn="1" w:firstRow="1" w:lastColumn="0" w:lastRow="0" w:noHBand="0" w:noVBand="1" w:val="04A0"/>
      </w:tblPr>
      <w:tblGrid>
        <w:gridCol w:w="8640"/>
      </w:tblGrid>
      <w:tr>
        <w:tc>
          <w:tcPr>
            <w:tcW w:type="dxa" w:w="8640"/>
            <w:shd w:val="clear" w:color="auto" w:fill="F2F2F2"/>
          </w:tcPr>
          <w:p>
            <w:pPr>
              <w:spacing w:before="80" w:after="80"/>
            </w:pPr>
            <w:r/>
            <w:r>
              <w:rPr>
                <w:b/>
                <w:color w:val="595959"/>
                <w:sz w:val="20"/>
              </w:rPr>
              <w:t xml:space="preserve">HINWEIS KEY VAULT  </w:t>
            </w:r>
            <w:r>
              <w:rPr>
                <w:sz w:val="20"/>
              </w:rPr>
              <w:t>Optional: Azure Key Vault. Im vorgesehenen Betrieb mit Managed Identity werden keine Zugangsschlüssel gespeichert – der Key Vault bliebe faktisch leer. Er ist daher keine Pflicht-Ressource, sondern ein optionaler Best-Practice-Baustein für den Fall, dass künftig doch Secrets abzulegen sind.</w:t>
            </w:r>
          </w:p>
        </w:tc>
      </w:tr>
    </w:tbl>
    <w:p/>
    <w:p>
      <w:pPr>
        <w:spacing w:after="120"/>
      </w:pPr>
      <w:r>
        <w:rPr>
          <w:b w:val="0"/>
          <w:i w:val="0"/>
          <w:sz w:val="21"/>
        </w:rPr>
        <w:t>Ergänzend wird die Extension in der Azure-DevOps-Organisation der Bank installiert. Der Quellcode wird in ein internes Repository der Bank übernommen – idealerweise in Azure Repos derselben Azure-DevOps-Organisation, mit gleicher Zugriffskontrolle und Review-Pflicht.</w:t>
      </w:r>
    </w:p>
    <w:p>
      <w:pPr>
        <w:pStyle w:val="Heading1"/>
      </w:pPr>
      <w:r>
        <w:t>5. Datenschutz und Datenverarbeitung</w:t>
      </w:r>
    </w:p>
    <w:p>
      <w:pPr>
        <w:spacing w:after="120"/>
      </w:pPr>
      <w:r>
        <w:rPr>
          <w:b w:val="0"/>
          <w:i w:val="0"/>
          <w:sz w:val="21"/>
        </w:rPr>
        <w:t>Verarbeitet werden ausschließlich Work-Item-Inhalte, insbesondere Titel, Beschreibung und Akzeptanzkriterien der jeweils geöffneten Anforderung. Keine Anhänge, keine Kommentare, keine Daten aus anderen Systemen.</w:t>
      </w:r>
    </w:p>
    <w:p>
      <w:pPr>
        <w:spacing w:after="120"/>
      </w:pPr>
      <w:r>
        <w:rPr>
          <w:b w:val="0"/>
          <w:i w:val="0"/>
          <w:sz w:val="21"/>
        </w:rPr>
        <w:t>Für den Bankbetrieb ist Azure OpenAI in einer EU-Region (z. B. Germany West Central / Frankfurt, abhängig von der Modellverfügbarkeit) innerhalb des Bank-Tenants vorgesehen. Die Daten verlassen damit weder Azure noch die EU und werden – vertraglich durch Microsoft zugesichert – nicht zum Training von Modellen verwendet.</w:t>
      </w:r>
    </w:p>
    <w:tbl>
      <w:tblPr>
        <w:tblW w:type="auto" w:w="0"/>
        <w:jc w:val="center"/>
        <w:tblLook w:firstColumn="1" w:firstRow="1" w:lastColumn="0" w:lastRow="0" w:noHBand="0" w:noVBand="1" w:val="04A0"/>
      </w:tblPr>
      <w:tblGrid>
        <w:gridCol w:w="8640"/>
      </w:tblGrid>
      <w:tr>
        <w:tc>
          <w:tcPr>
            <w:tcW w:type="dxa" w:w="8640"/>
            <w:shd w:val="clear" w:color="auto" w:fill="FBEFD6"/>
          </w:tcPr>
          <w:p>
            <w:pPr>
              <w:spacing w:before="80" w:after="80"/>
            </w:pPr>
            <w:r/>
            <w:r>
              <w:rPr>
                <w:b/>
                <w:color w:val="B46900"/>
                <w:sz w:val="20"/>
              </w:rPr>
              <w:t xml:space="preserve">OFFENER PUNKT  </w:t>
            </w:r>
            <w:r>
              <w:rPr>
                <w:sz w:val="20"/>
              </w:rPr>
              <w:t>Zu klären mit der Bank: Werden Work-Item-Inhalte bereits heute in der Azure Cloud verarbeitet oder ausschließlich on-premises? Werden sie ohnehin in Azure verarbeitet, ist die Verarbeitung durch Azure OpenAI in der EU-Region konsistent mit dem bestehenden Vorgehen und aus Datenschutzsicht unkritisch.</w:t>
            </w:r>
          </w:p>
        </w:tc>
      </w:tr>
    </w:tbl>
    <w:p/>
    <w:p>
      <w:pPr>
        <w:pStyle w:val="Heading2"/>
      </w:pPr>
      <w:r>
        <w:t>Authentifizierung</w:t>
      </w:r>
    </w:p>
    <w:p>
      <w:pPr>
        <w:spacing w:after="120"/>
      </w:pPr>
      <w:r>
        <w:rPr>
          <w:b w:val="0"/>
          <w:i w:val="0"/>
          <w:sz w:val="21"/>
        </w:rPr>
        <w:t>Jeder Zugriff auf Azure Boards erfolgt mit dem persönlichen Azure-DevOps-Token des angemeldeten Nutzers (Token-Passthrough); das Token wird nicht gespeichert. Der Zugriff der Function App auf Azure OpenAI läuft über Managed Identity, also ohne API-Schlüssel. Im vorgesehenen Betrieb liegen damit keine Zugangsschlüssel im Klartext in der Anwendung – und faktisch auch keine im Key Vault.</w:t>
      </w:r>
    </w:p>
    <w:p>
      <w:pPr>
        <w:pStyle w:val="Heading1"/>
      </w:pPr>
      <w:r>
        <w:t>6. Vorgehen für einen Pilotbetrieb</w:t>
      </w:r>
    </w:p>
    <w:p>
      <w:pPr>
        <w:spacing w:after="120"/>
      </w:pPr>
      <w:r>
        <w:rPr>
          <w:b w:val="0"/>
          <w:i w:val="0"/>
          <w:sz w:val="21"/>
        </w:rPr>
        <w:t>Da die Lösung als Prototyp bereits vorliegt, konzentriert sich der Pilot auf Bereitstellung, Absicherung und Bewertung im Umfeld der Bank:</w:t>
      </w:r>
    </w:p>
    <w:p>
      <w:pPr>
        <w:pStyle w:val="ListNumber"/>
        <w:spacing w:after="60"/>
      </w:pPr>
      <w:r>
        <w:rPr>
          <w:b/>
          <w:sz w:val="21"/>
        </w:rPr>
        <w:t>Resource Group</w:t>
      </w:r>
      <w:r>
        <w:rPr>
          <w:sz w:val="21"/>
        </w:rPr>
        <w:t xml:space="preserve"> bei der ING bereitstellen.</w:t>
      </w:r>
    </w:p>
    <w:p>
      <w:pPr>
        <w:pStyle w:val="ListNumber"/>
        <w:spacing w:after="60"/>
      </w:pPr>
      <w:r>
        <w:rPr>
          <w:b/>
          <w:sz w:val="21"/>
        </w:rPr>
        <w:t>Interne Freigabe</w:t>
      </w:r>
      <w:r>
        <w:rPr>
          <w:sz w:val="21"/>
        </w:rPr>
        <w:t xml:space="preserve"> für Azure OpenAI einholen.</w:t>
      </w:r>
    </w:p>
    <w:p>
      <w:pPr>
        <w:pStyle w:val="ListNumber"/>
        <w:spacing w:after="60"/>
      </w:pPr>
      <w:r>
        <w:rPr>
          <w:b/>
          <w:sz w:val="21"/>
        </w:rPr>
        <w:t>Azure-Ressourcen</w:t>
      </w:r>
      <w:r>
        <w:rPr>
          <w:sz w:val="21"/>
        </w:rPr>
        <w:t xml:space="preserve"> anlegen und die Anwendung deployen (Function App, Storage, Azure OpenAI).</w:t>
      </w:r>
    </w:p>
    <w:p>
      <w:pPr>
        <w:pStyle w:val="ListNumber"/>
        <w:spacing w:after="60"/>
      </w:pPr>
      <w:r>
        <w:rPr>
          <w:b/>
          <w:sz w:val="21"/>
        </w:rPr>
        <w:t>Extension</w:t>
      </w:r>
      <w:r>
        <w:rPr>
          <w:sz w:val="21"/>
        </w:rPr>
        <w:t xml:space="preserve"> in der Azure-DevOps-Organisation der Bank installieren und mit dem Bank-Backend verbinden.</w:t>
      </w:r>
    </w:p>
    <w:p>
      <w:pPr>
        <w:pStyle w:val="ListNumber"/>
        <w:spacing w:after="60"/>
      </w:pPr>
      <w:r>
        <w:rPr>
          <w:b/>
          <w:sz w:val="21"/>
        </w:rPr>
        <w:t>Pilot</w:t>
      </w:r>
      <w:r>
        <w:rPr>
          <w:sz w:val="21"/>
        </w:rPr>
        <w:t xml:space="preserve"> mit einem Team starten – inklusive Messung der tatsächlichen Zeitersparnis und Qualitätswirkung.</w:t>
      </w:r>
    </w:p>
    <w:p>
      <w:pPr>
        <w:pStyle w:val="Heading1"/>
      </w:pPr>
      <w:r>
        <w:t>7. Zeitrahmen und Investition</w:t>
      </w:r>
    </w:p>
    <w:p>
      <w:pPr>
        <w:spacing w:after="120"/>
      </w:pPr>
      <w:r>
        <w:rPr>
          <w:b w:val="0"/>
          <w:i w:val="0"/>
          <w:sz w:val="21"/>
        </w:rPr>
        <w:t>Technisch ist die Bereitstellung eine Sache weniger Tage. Realistisch bestimmen die bankinternen Freigabeprozesse (Subscription, Azure-OpenAI-Freigabe, Security- und Datenschutzprüfung) den Zeitrahmen – bis zum laufenden Pilot sind das erfahrungsgemäß rund 6–10 Wochen. Der Engpass sind die Genehmigungen, nicht die Technik.</w:t>
      </w:r>
    </w:p>
    <w:p>
      <w:pPr>
        <w:spacing w:after="120"/>
      </w:pPr>
      <w:r>
        <w:rPr>
          <w:b w:val="0"/>
          <w:i w:val="0"/>
          <w:sz w:val="21"/>
        </w:rPr>
        <w:t>Die laufenden Infrastrukturkosten sind bewusst schlank. Für einen Pilot mit einem Team liegen sie im niedrigen zweistelligen bis unteren dreistelligen Eurobereich pro Monat, überwiegend nutzungsabhängige Kosten für die KI-Aufrufe. Ein eingebauter Verbrauchszähler und Azure-Budget-Alerts halten die Kosten transparent und begrenzt.</w:t>
      </w:r>
    </w:p>
    <w:p>
      <w:pPr>
        <w:pStyle w:val="Heading1"/>
      </w:pPr>
      <w:r>
        <w:t>8. Security-Assessment</w:t>
      </w:r>
    </w:p>
    <w:p>
      <w:pPr>
        <w:spacing w:after="120"/>
      </w:pPr>
      <w:r>
        <w:rPr>
          <w:b w:val="0"/>
          <w:i w:val="0"/>
          <w:sz w:val="21"/>
        </w:rPr>
        <w:t>Der Quellcode wurde vollständig geprüft. Ergebnis: keine kritischen oder hohen Schwachstellen. Positiv fallen insbesondere auf: keine fest im Code hinterlegten Zugangsdaten, durchgängige Authentifizierung aller fachlichen Schnittstellen, ein fail-closed abgesichertes Rechte-Gate, Bereinigung aller KI-Ausgaben vor Anzeige und Rückschreiben sowie eine Abhängigkeitsprüfung des Backends ohne Befund.</w:t>
      </w:r>
    </w:p>
    <w:p>
      <w:pPr>
        <w:spacing w:after="120"/>
      </w:pPr>
      <w:r>
        <w:rPr>
          <w:b w:val="0"/>
          <w:i w:val="0"/>
          <w:sz w:val="21"/>
        </w:rPr>
        <w:t>Vor dem Produktivbetrieb setzen wir – gemeinsam mit dem Security-Team der Bank – eine überschaubare Zahl an Härtungsmaßnahmen um:</w:t>
      </w:r>
    </w:p>
    <w:p>
      <w:pPr>
        <w:pStyle w:val="ListBullet"/>
        <w:spacing w:after="60"/>
      </w:pPr>
      <w:r>
        <w:rPr>
          <w:b/>
          <w:sz w:val="21"/>
        </w:rPr>
        <w:t xml:space="preserve">Zugriffsbeschränkung: </w:t>
      </w:r>
      <w:r>
        <w:rPr>
          <w:sz w:val="21"/>
        </w:rPr>
        <w:t xml:space="preserve"> den Zugriff auf die API auf die Domäne der Extension beschränken.</w:t>
      </w:r>
    </w:p>
    <w:p>
      <w:pPr>
        <w:pStyle w:val="ListBullet"/>
        <w:spacing w:after="60"/>
      </w:pPr>
      <w:r>
        <w:rPr>
          <w:b/>
          <w:sz w:val="21"/>
        </w:rPr>
        <w:t xml:space="preserve">Transportverschlüsselung: </w:t>
      </w:r>
      <w:r>
        <w:rPr>
          <w:sz w:val="21"/>
        </w:rPr>
        <w:t xml:space="preserve"> verschlüsselten Transport für alle Speicherzugriffe erzwingen.</w:t>
      </w:r>
    </w:p>
    <w:p>
      <w:pPr>
        <w:pStyle w:val="ListBullet"/>
        <w:spacing w:after="60"/>
      </w:pPr>
      <w:r>
        <w:rPr>
          <w:b/>
          <w:sz w:val="21"/>
        </w:rPr>
        <w:t xml:space="preserve">Protokollierung: </w:t>
      </w:r>
      <w:r>
        <w:rPr>
          <w:sz w:val="21"/>
        </w:rPr>
        <w:t xml:space="preserve"> Protokollierung von Inhalten reduzieren und die Aufbewahrung mit dem Datenschutz abstimmen.</w:t>
      </w:r>
    </w:p>
    <w:p>
      <w:pPr>
        <w:pStyle w:val="ListBullet"/>
        <w:spacing w:after="60"/>
      </w:pPr>
      <w:r>
        <w:rPr>
          <w:b/>
          <w:sz w:val="21"/>
        </w:rPr>
        <w:t xml:space="preserve">Backend-Bindung: </w:t>
      </w:r>
      <w:r>
        <w:rPr>
          <w:sz w:val="21"/>
        </w:rPr>
        <w:t xml:space="preserve"> die Backend-Adresse im Build fest auf das Bank-Backend setzen.</w:t>
      </w:r>
    </w:p>
    <w:p>
      <w:pPr>
        <w:pStyle w:val="ListBullet"/>
        <w:spacing w:after="60"/>
      </w:pPr>
      <w:r>
        <w:rPr>
          <w:b/>
          <w:sz w:val="21"/>
        </w:rPr>
        <w:t xml:space="preserve">Rechteprüfung: </w:t>
      </w:r>
      <w:r>
        <w:rPr>
          <w:sz w:val="21"/>
        </w:rPr>
        <w:t xml:space="preserve"> die Berechtigungsprüfung gegen die konkrete Azure-DevOps-Organisation der Bank verifizieren.</w:t>
      </w:r>
    </w:p>
    <w:tbl>
      <w:tblPr>
        <w:tblW w:type="auto" w:w="0"/>
        <w:jc w:val="center"/>
        <w:tblLook w:firstColumn="1" w:firstRow="1" w:lastColumn="0" w:lastRow="0" w:noHBand="0" w:noVBand="1" w:val="04A0"/>
      </w:tblPr>
      <w:tblGrid>
        <w:gridCol w:w="8640"/>
      </w:tblGrid>
      <w:tr>
        <w:tc>
          <w:tcPr>
            <w:tcW w:type="dxa" w:w="8640"/>
            <w:shd w:val="clear" w:color="auto" w:fill="E7F4EA"/>
          </w:tcPr>
          <w:p>
            <w:pPr>
              <w:spacing w:before="80" w:after="80"/>
            </w:pPr>
            <w:r/>
            <w:r>
              <w:rPr>
                <w:b/>
                <w:color w:val="1B7F37"/>
                <w:sz w:val="20"/>
              </w:rPr>
              <w:t xml:space="preserve">EINORDNUNG  </w:t>
            </w:r>
            <w:r>
              <w:rPr>
                <w:sz w:val="20"/>
              </w:rPr>
              <w:t>Alle genannten Punkte sind bekannt, klein und ohne Architekturänderung umsetzbar. Ein eigener Penetrationstest durch die Bank ist jederzeit möglich – die Angriffsfläche ist klar umrissen (eine abgesicherte Schnittstelle plus statische Extension).</w:t>
            </w:r>
          </w:p>
        </w:tc>
      </w:tr>
    </w:tbl>
    <w:p/>
    <w:p>
      <w:pPr>
        <w:pStyle w:val="Heading1"/>
      </w:pPr>
      <w:r>
        <w:t>9. Unser Beitrag als Beratung</w:t>
      </w:r>
    </w:p>
    <w:p>
      <w:pPr>
        <w:spacing w:after="120"/>
      </w:pPr>
      <w:r>
        <w:rPr>
          <w:b w:val="0"/>
          <w:i w:val="0"/>
          <w:sz w:val="21"/>
        </w:rPr>
        <w:t>Im Zentrum steht nicht der Verkauf eines fertigen Produkts, sondern die Begleitung der Einführung eines Quality Gates für Anforderungen und Testfälle. Der vorliegende Prototyp belegt, dass der Ansatz funktioniert und beschleunigt die Umsetzung. Wir bringen ein:</w:t>
      </w:r>
    </w:p>
    <w:p>
      <w:pPr>
        <w:pStyle w:val="ListBullet"/>
        <w:spacing w:after="60"/>
      </w:pPr>
      <w:r>
        <w:rPr>
          <w:b/>
          <w:sz w:val="21"/>
        </w:rPr>
        <w:t xml:space="preserve">Fachliche Begleitung: </w:t>
      </w:r>
      <w:r>
        <w:rPr>
          <w:sz w:val="21"/>
        </w:rPr>
        <w:t xml:space="preserve"> Analyse der bestehenden Anforderungs- und Testprozesse, Zuschnitt der Regelsets auf die Vorgaben der ING.</w:t>
      </w:r>
    </w:p>
    <w:p>
      <w:pPr>
        <w:pStyle w:val="ListBullet"/>
        <w:spacing w:after="60"/>
      </w:pPr>
      <w:r>
        <w:rPr>
          <w:b/>
          <w:sz w:val="21"/>
        </w:rPr>
        <w:t xml:space="preserve">Technische Umsetzung: </w:t>
      </w:r>
      <w:r>
        <w:rPr>
          <w:sz w:val="21"/>
        </w:rPr>
        <w:t xml:space="preserve"> Bereitstellung und Absicherung im Azure-Tenant der Bank, Härtung vor Go-Live, Übergabe in ein internes Repository.</w:t>
      </w:r>
    </w:p>
    <w:p>
      <w:pPr>
        <w:pStyle w:val="ListBullet"/>
        <w:spacing w:after="60"/>
      </w:pPr>
      <w:r>
        <w:rPr>
          <w:b/>
          <w:sz w:val="21"/>
        </w:rPr>
        <w:t xml:space="preserve">Governance: </w:t>
      </w:r>
      <w:r>
        <w:rPr>
          <w:sz w:val="21"/>
        </w:rPr>
        <w:t xml:space="preserve"> Zusammenarbeit mit Security und Datenschutz, transparente Bewertung von Risiken und Maßnahmen.</w:t>
      </w:r>
    </w:p>
    <w:p>
      <w:pPr>
        <w:pStyle w:val="ListBullet"/>
        <w:spacing w:after="60"/>
      </w:pPr>
      <w:r>
        <w:rPr>
          <w:b/>
          <w:sz w:val="21"/>
        </w:rPr>
        <w:t xml:space="preserve">Nachweis: </w:t>
      </w:r>
      <w:r>
        <w:rPr>
          <w:sz w:val="21"/>
        </w:rPr>
        <w:t xml:space="preserve"> messbarer Pilot mit einem Team, Bewertung von Zeitersparnis und Qualitätswirkung als Grundlage für die Entscheidung über eine breitere Einführung.</w:t>
      </w:r>
    </w:p>
    <w:p>
      <w:pPr>
        <w:pStyle w:val="Heading1"/>
      </w:pPr>
      <w:r>
        <w:t>10. Erwartbare Fragen der ING – mit Antworten</w:t>
      </w:r>
    </w:p>
    <w:p>
      <w:pPr>
        <w:spacing w:after="20"/>
      </w:pPr>
      <w:r>
        <w:rPr>
          <w:b/>
          <w:color w:val="FF6200"/>
          <w:sz w:val="21"/>
        </w:rPr>
        <w:t>F1.  Verlassen Daten die EU oder unseren Tenant?</w:t>
      </w:r>
    </w:p>
    <w:p>
      <w:pPr>
        <w:spacing w:after="160"/>
        <w:ind w:left="360"/>
      </w:pPr>
      <w:r>
        <w:rPr>
          <w:sz w:val="21"/>
        </w:rPr>
        <w:t>Nein. Function App, Storage und Azure OpenAI laufen in einer EU-Region im Tenant der Bank. Ein externer Verarbeitungsweg ist nicht vorgesehen und lässt sich technisch unterbinden.</w:t>
      </w:r>
    </w:p>
    <w:p>
      <w:pPr>
        <w:spacing w:after="20"/>
      </w:pPr>
      <w:r>
        <w:rPr>
          <w:b/>
          <w:color w:val="FF6200"/>
          <w:sz w:val="21"/>
        </w:rPr>
        <w:t>F2.  Trainiert Microsoft oder OpenAI mit unseren Daten?</w:t>
      </w:r>
    </w:p>
    <w:p>
      <w:pPr>
        <w:spacing w:after="160"/>
        <w:ind w:left="360"/>
      </w:pPr>
      <w:r>
        <w:rPr>
          <w:sz w:val="21"/>
        </w:rPr>
        <w:t>Nein, vertraglich ausgeschlossen. Optional lässt sich zusätzlich die kurzzeitige Vorhaltung zur Missbrauchserkennung abbestellen – bei Finanzinstituten üblich.</w:t>
      </w:r>
    </w:p>
    <w:p>
      <w:pPr>
        <w:spacing w:after="20"/>
      </w:pPr>
      <w:r>
        <w:rPr>
          <w:b/>
          <w:color w:val="FF6200"/>
          <w:sz w:val="21"/>
        </w:rPr>
        <w:t>F3.  Welche Daten gehen an das KI-Modell?</w:t>
      </w:r>
    </w:p>
    <w:p>
      <w:pPr>
        <w:spacing w:after="160"/>
        <w:ind w:left="360"/>
      </w:pPr>
      <w:r>
        <w:rPr>
          <w:sz w:val="21"/>
        </w:rPr>
        <w:t>Nur Titel, Beschreibung und Akzeptanzkriterien der geöffneten Anforderung sowie das Regelwerk. Keine Anhänge, keine Kommentare, keine Daten aus anderen Systemen.</w:t>
      </w:r>
    </w:p>
    <w:p>
      <w:pPr>
        <w:spacing w:after="20"/>
      </w:pPr>
      <w:r>
        <w:rPr>
          <w:b/>
          <w:color w:val="FF6200"/>
          <w:sz w:val="21"/>
        </w:rPr>
        <w:t>F4.  Kann das Tool mehr als der jeweilige Nutzer selbst?</w:t>
      </w:r>
    </w:p>
    <w:p>
      <w:pPr>
        <w:spacing w:after="160"/>
        <w:ind w:left="360"/>
      </w:pPr>
      <w:r>
        <w:rPr>
          <w:sz w:val="21"/>
        </w:rPr>
        <w:t>Nein. Jeder Zugriff erfolgt mit dem Token des angemeldeten Nutzers. Die Berechtigungen der Bank in Azure DevOps gelten unverändert weiter.</w:t>
      </w:r>
    </w:p>
    <w:p>
      <w:pPr>
        <w:spacing w:after="20"/>
      </w:pPr>
      <w:r>
        <w:rPr>
          <w:b/>
          <w:color w:val="FF6200"/>
          <w:sz w:val="21"/>
        </w:rPr>
        <w:t>F5.  Was passiert bei einem fehlerhaften KI-Vorschlag?</w:t>
      </w:r>
    </w:p>
    <w:p>
      <w:pPr>
        <w:spacing w:after="160"/>
        <w:ind w:left="360"/>
      </w:pPr>
      <w:r>
        <w:rPr>
          <w:sz w:val="21"/>
        </w:rPr>
        <w:t>Nichts wird automatisch übernommen. Jeder Vorschlag ist eine Vorschau, die der Nutzer prüfen, ändern, verwerfen oder übernehmen kann; Übernahmen werden protokolliert.</w:t>
      </w:r>
    </w:p>
    <w:p>
      <w:pPr>
        <w:spacing w:after="20"/>
      </w:pPr>
      <w:r>
        <w:rPr>
          <w:b/>
          <w:color w:val="FF6200"/>
          <w:sz w:val="21"/>
        </w:rPr>
        <w:t>F6.  Ist der Code sicherheitsgeprüft?</w:t>
      </w:r>
    </w:p>
    <w:p>
      <w:pPr>
        <w:spacing w:after="160"/>
        <w:ind w:left="360"/>
      </w:pPr>
      <w:r>
        <w:rPr>
          <w:sz w:val="21"/>
        </w:rPr>
        <w:t>Ja. Ein vollständiges Security-Assessment liegt vor (Abschnitt 8): keine kritischen Befunde, Backend-Abhängigkeiten ohne bekannte Schwachstellen, definierte Härtungsmaßnahmen vor Go-Live.</w:t>
      </w:r>
    </w:p>
    <w:p>
      <w:pPr>
        <w:spacing w:after="20"/>
      </w:pPr>
      <w:r>
        <w:rPr>
          <w:b/>
          <w:color w:val="FF6200"/>
          <w:sz w:val="21"/>
        </w:rPr>
        <w:t>F7.  Wie ordnet sich das im Rahmen des EU AI Act ein?</w:t>
      </w:r>
    </w:p>
    <w:p>
      <w:pPr>
        <w:spacing w:after="160"/>
        <w:ind w:left="360"/>
      </w:pPr>
      <w:r>
        <w:rPr>
          <w:sz w:val="21"/>
        </w:rPr>
        <w:t>Als unterstützendes Qualitätswerkzeug mit menschlicher Letztentscheidung – es trifft keine Entscheidungen über Personen und ist damit kein Hochrisiko-Anwendungsfall.</w:t>
      </w:r>
    </w:p>
    <w:p>
      <w:pPr>
        <w:spacing w:after="20"/>
      </w:pPr>
      <w:r>
        <w:rPr>
          <w:b/>
          <w:color w:val="FF6200"/>
          <w:sz w:val="21"/>
        </w:rPr>
        <w:t>F8.  Wie werden die Kosten kontrolliert?</w:t>
      </w:r>
    </w:p>
    <w:p>
      <w:pPr>
        <w:spacing w:after="160"/>
        <w:ind w:left="360"/>
      </w:pPr>
      <w:r>
        <w:rPr>
          <w:sz w:val="21"/>
        </w:rPr>
        <w:t>Über einen eingebauten Verbrauchszähler je Nutzer und Azure-Budget-Alerts. Die Kosten skalieren nur mit der tatsächlichen Nutzung.</w:t>
      </w:r>
    </w:p>
    <w:p>
      <w:pPr>
        <w:spacing w:after="20"/>
      </w:pPr>
      <w:r>
        <w:rPr>
          <w:b/>
          <w:color w:val="FF6200"/>
          <w:sz w:val="21"/>
        </w:rPr>
        <w:t>F9.  Wie sieht ein Ausstieg aus?</w:t>
      </w:r>
    </w:p>
    <w:p>
      <w:pPr>
        <w:spacing w:after="160"/>
        <w:ind w:left="360"/>
      </w:pPr>
      <w:r>
        <w:rPr>
          <w:sz w:val="21"/>
        </w:rPr>
        <w:t>Die KI lässt sich abschalten, die Extension deinstallieren. Alle Daten liegen ausschließlich in Bank-Ressourcen und werden mit diesen entfernt. Kein Vendor-Lock-in über Azure hinaus.</w:t>
      </w:r>
    </w:p>
    <w:p>
      <w:pPr>
        <w:spacing w:after="20"/>
      </w:pPr>
      <w:r>
        <w:rPr>
          <w:b/>
          <w:color w:val="FF6200"/>
          <w:sz w:val="21"/>
        </w:rPr>
        <w:t>F10.  Funktioniert das auch mit Azure DevOps Server (on-premises)?</w:t>
      </w:r>
    </w:p>
    <w:p>
      <w:pPr>
        <w:spacing w:after="160"/>
        <w:ind w:left="360"/>
      </w:pPr>
      <w:r>
        <w:rPr>
          <w:sz w:val="21"/>
        </w:rPr>
        <w:t>Die Lösung ist aktuell auf Azure DevOps in der Cloud ausgelegt. Eine On-Premises-Variante wäre ein eigenes Vorhaben.</w:t>
      </w:r>
    </w:p>
    <w:p>
      <w:pPr>
        <w:pBdr>
          <w:bottom w:val="single" w:sz="6" w:space="1" w:color="FF6200"/>
        </w:pBdr>
      </w:pPr>
    </w:p>
    <w:p>
      <w:pPr>
        <w:spacing w:after="120"/>
        <w:jc w:val="center"/>
      </w:pPr>
      <w:r>
        <w:rPr>
          <w:b w:val="0"/>
          <w:i/>
          <w:color w:val="595959"/>
          <w:sz w:val="17"/>
        </w:rPr>
        <w:t>QualityGate AI · Lösungsüberblick für die ING Bank · Stand 08.07.2026 · Vertraulich.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QualityGate AI – Lösungsüberblick für die ING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FF62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