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Team Name: JuanDao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Category: Undergraduate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Member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Trajuan Smith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Myriad21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Moon and cloud animations; ghost orb animations; walking couple and black cat animations; three-scene progression; responsive design; accessibility and reduced-motion support; scene integration and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Hian Dao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hien-dao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gravestones and hover ghosts; cyclist animation; dead tree placement and swaying animations; graveyard environment elements; scene integration and testing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Github Repository: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https://github.com/hien-dao/WebProg_InClass06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Contribution Evidence: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https://github.com/hien-dao/WebProg_InClass06/commits/main/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Codd</w:t>
      </w:r>
      <w:r w:rsidDel="00000000" w:rsidR="00000000" w:rsidRPr="00000000">
        <w:rPr>
          <w:rtl w:val="0"/>
        </w:rPr>
        <w:t xml:space="preserve"> Server Deployment URL: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https://codd.cs.gsu.edu/~tsmith413/WebDev/inClass/act6/index.html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Scene Option Chose: Option 2: Midnight Graveyard Stroll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Github Contributions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codd.cs.gsu.edu/~tsmith413/WebDev/inClass/act6/index.html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ien-dao/WebProg_InClass06/commits/ma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yriad21" TargetMode="External"/><Relationship Id="rId7" Type="http://schemas.openxmlformats.org/officeDocument/2006/relationships/hyperlink" Target="http://github.com/hien-dao" TargetMode="External"/><Relationship Id="rId8" Type="http://schemas.openxmlformats.org/officeDocument/2006/relationships/hyperlink" Target="https://github.com/hien-dao/WebProg_InClass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