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Make Payment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 Dec, 2023</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Huyen Anh</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Make Payment</w:t>
      </w:r>
    </w:p>
    <w:p w:rsidR="00000000" w:rsidDel="00000000" w:rsidP="00000000" w:rsidRDefault="00000000" w:rsidRPr="00000000" w14:paraId="00000027">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8">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9">
      <w:pPr>
        <w:ind w:left="708.6614173228347" w:firstLine="0"/>
        <w:rPr>
          <w:vertAlign w:val="baseline"/>
        </w:rPr>
      </w:pPr>
      <w:r w:rsidDel="00000000" w:rsidR="00000000" w:rsidRPr="00000000">
        <w:rPr>
          <w:color w:val="1f1f1f"/>
          <w:highlight w:val="white"/>
          <w:rtl w:val="0"/>
        </w:rPr>
        <w:t xml:space="preserve">The "Making Payment" use-case is a fundamental business process that allows customers to purchase products from an online store, this will describe how users can make payment in Shopee platform. </w:t>
      </w:r>
      <w:r w:rsidDel="00000000" w:rsidR="00000000" w:rsidRPr="00000000">
        <w:rPr>
          <w:rtl w:val="0"/>
        </w:rPr>
      </w:r>
    </w:p>
    <w:p w:rsidR="00000000" w:rsidDel="00000000" w:rsidP="00000000" w:rsidRDefault="00000000" w:rsidRPr="00000000" w14:paraId="0000002A">
      <w:pPr>
        <w:pStyle w:val="Heading2"/>
        <w:numPr>
          <w:ilvl w:val="1"/>
          <w:numId w:val="1"/>
        </w:numPr>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document will describe how to purchase products in Shopee in a detailed way. This document uses MVC pattern in a sequence diagram and also supplies a class diagram.</w:t>
      </w:r>
      <w:r w:rsidDel="00000000" w:rsidR="00000000" w:rsidRPr="00000000">
        <w:rPr>
          <w:rtl w:val="0"/>
        </w:rPr>
      </w:r>
    </w:p>
    <w:p w:rsidR="00000000" w:rsidDel="00000000" w:rsidP="00000000" w:rsidRDefault="00000000" w:rsidRPr="00000000" w14:paraId="0000002C">
      <w:pPr>
        <w:pStyle w:val="Heading2"/>
        <w:numPr>
          <w:ilvl w:val="1"/>
          <w:numId w:val="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MVC: Model-View-Controller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UML: </w:t>
      </w:r>
      <w:r w:rsidDel="00000000" w:rsidR="00000000" w:rsidRPr="00000000">
        <w:rPr>
          <w:highlight w:val="white"/>
          <w:rtl w:val="0"/>
        </w:rPr>
        <w:t xml:space="preserve">Unified Modeling Language</w:t>
      </w: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30">
      <w:pPr>
        <w:keepLines w:val="1"/>
        <w:spacing w:after="120" w:lineRule="auto"/>
        <w:ind w:left="720" w:firstLine="0"/>
        <w:rPr/>
      </w:pPr>
      <w:r w:rsidDel="00000000" w:rsidR="00000000" w:rsidRPr="00000000">
        <w:rPr>
          <w:rtl w:val="0"/>
        </w:rPr>
        <w:t xml:space="preserve">BMP01, version 0.1: Business Architecture Document</w:t>
      </w:r>
    </w:p>
    <w:p w:rsidR="00000000" w:rsidDel="00000000" w:rsidP="00000000" w:rsidRDefault="00000000" w:rsidRPr="00000000" w14:paraId="00000031">
      <w:pPr>
        <w:keepLines w:val="1"/>
        <w:spacing w:after="120" w:lineRule="auto"/>
        <w:ind w:left="720" w:firstLine="0"/>
        <w:rPr/>
      </w:pPr>
      <w:r w:rsidDel="00000000" w:rsidR="00000000" w:rsidRPr="00000000">
        <w:rPr>
          <w:rtl w:val="0"/>
        </w:rPr>
        <w:t xml:space="preserve">BMP03, version 0.1: Business Use-Case Specification: Making Payment</w:t>
      </w:r>
    </w:p>
    <w:p w:rsidR="00000000" w:rsidDel="00000000" w:rsidP="00000000" w:rsidRDefault="00000000" w:rsidRPr="00000000" w14:paraId="00000032">
      <w:pPr>
        <w:keepLines w:val="1"/>
        <w:spacing w:after="120" w:lineRule="auto"/>
        <w:ind w:left="720" w:firstLine="0"/>
        <w:rPr/>
      </w:pPr>
      <w:r w:rsidDel="00000000" w:rsidR="00000000" w:rsidRPr="00000000">
        <w:rPr>
          <w:rtl w:val="0"/>
        </w:rPr>
        <w:t xml:space="preserve">RD02, version 0.2: Use-Case Specification: Making Payment</w:t>
      </w:r>
    </w:p>
    <w:p w:rsidR="00000000" w:rsidDel="00000000" w:rsidP="00000000" w:rsidRDefault="00000000" w:rsidRPr="00000000" w14:paraId="00000033">
      <w:pPr>
        <w:keepLines w:val="1"/>
        <w:spacing w:after="120" w:lineRule="auto"/>
        <w:ind w:left="720" w:firstLine="0"/>
        <w:rPr/>
      </w:pPr>
      <w:r w:rsidDel="00000000" w:rsidR="00000000" w:rsidRPr="00000000">
        <w:rPr>
          <w:rtl w:val="0"/>
        </w:rPr>
        <w:t xml:space="preserve">AM01, version 0.2: Use-Case-Realization Specification: Make Payment</w:t>
      </w:r>
    </w:p>
    <w:p w:rsidR="00000000" w:rsidDel="00000000" w:rsidP="00000000" w:rsidRDefault="00000000" w:rsidRPr="00000000" w14:paraId="00000034">
      <w:pPr>
        <w:pStyle w:val="Heading2"/>
        <w:numPr>
          <w:ilvl w:val="1"/>
          <w:numId w:val="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document explains the </w:t>
      </w:r>
      <w:r w:rsidDel="00000000" w:rsidR="00000000" w:rsidRPr="00000000">
        <w:rPr>
          <w:color w:val="1f1f1f"/>
          <w:highlight w:val="white"/>
          <w:rtl w:val="0"/>
        </w:rPr>
        <w:t xml:space="preserve">entire purchasing journey, from product selection to payment and order confirmation of use case “Making Payment”. This has the analysis in a textual description and a thorough design by using UML (sequence diagram and class diagram). It also lists all the derived requirements for that use case in the Design Model.</w:t>
      </w: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pPr>
      <w:bookmarkStart w:colFirst="0" w:colLast="0" w:name="_heading=h.3dy6vkm" w:id="6"/>
      <w:bookmarkEnd w:id="6"/>
      <w:r w:rsidDel="00000000" w:rsidR="00000000" w:rsidRPr="00000000">
        <w:rPr>
          <w:rtl w:val="0"/>
        </w:rPr>
        <w:t xml:space="preserve">Flow of Events—Design </w:t>
      </w:r>
    </w:p>
    <w:p w:rsidR="00000000" w:rsidDel="00000000" w:rsidP="00000000" w:rsidRDefault="00000000" w:rsidRPr="00000000" w14:paraId="00000037">
      <w:pPr>
        <w:pStyle w:val="Heading1"/>
        <w:ind w:left="720" w:firstLine="0"/>
        <w:rPr>
          <w:rFonts w:ascii="Times New Roman" w:cs="Times New Roman" w:eastAsia="Times New Roman" w:hAnsi="Times New Roman"/>
          <w:b w:val="0"/>
          <w:color w:val="1f1f1f"/>
          <w:sz w:val="20"/>
          <w:szCs w:val="20"/>
        </w:rPr>
      </w:pPr>
      <w:bookmarkStart w:colFirst="0" w:colLast="0" w:name="_heading=h.iry5t7a7hsij" w:id="7"/>
      <w:bookmarkEnd w:id="7"/>
      <w:r w:rsidDel="00000000" w:rsidR="00000000" w:rsidRPr="00000000">
        <w:rPr>
          <w:rFonts w:ascii="Times New Roman" w:cs="Times New Roman" w:eastAsia="Times New Roman" w:hAnsi="Times New Roman"/>
          <w:b w:val="0"/>
          <w:sz w:val="20"/>
          <w:szCs w:val="20"/>
          <w:rtl w:val="0"/>
        </w:rPr>
        <w:t xml:space="preserve">The user interacts with the system through the PaymentUI. The Payment UI component displays the applied-voucher message, the user's shipping and order information, as well as their payment information through Payment Controller by a method loadPaymentInfor.</w:t>
      </w:r>
      <w:r w:rsidDel="00000000" w:rsidR="00000000" w:rsidRPr="00000000">
        <w:rPr>
          <w:rtl w:val="0"/>
        </w:rPr>
      </w:r>
    </w:p>
    <w:p w:rsidR="00000000" w:rsidDel="00000000" w:rsidP="00000000" w:rsidRDefault="00000000" w:rsidRPr="00000000" w14:paraId="00000038">
      <w:pPr>
        <w:shd w:fill="ffffff" w:val="clear"/>
        <w:spacing w:after="360" w:before="360" w:lineRule="auto"/>
        <w:ind w:left="720" w:firstLine="0"/>
        <w:rPr>
          <w:color w:val="1f1f1f"/>
        </w:rPr>
      </w:pPr>
      <w:r w:rsidDel="00000000" w:rsidR="00000000" w:rsidRPr="00000000">
        <w:rPr>
          <w:color w:val="1f1f1f"/>
          <w:rtl w:val="0"/>
        </w:rPr>
        <w:t xml:space="preserve">Message Controller will get a message </w:t>
      </w:r>
      <w:r w:rsidDel="00000000" w:rsidR="00000000" w:rsidRPr="00000000">
        <w:rPr>
          <w:color w:val="1f1f1f"/>
          <w:rtl w:val="0"/>
        </w:rPr>
        <w:t xml:space="preserve">from Message</w:t>
      </w:r>
      <w:r w:rsidDel="00000000" w:rsidR="00000000" w:rsidRPr="00000000">
        <w:rPr>
          <w:color w:val="1f1f1f"/>
          <w:rtl w:val="0"/>
        </w:rPr>
        <w:t xml:space="preserve"> Model. Therefore, </w:t>
      </w:r>
      <w:r w:rsidDel="00000000" w:rsidR="00000000" w:rsidRPr="00000000">
        <w:rPr>
          <w:color w:val="1f1f1f"/>
          <w:rtl w:val="0"/>
        </w:rPr>
        <w:t xml:space="preserve">Payment</w:t>
      </w:r>
      <w:r w:rsidDel="00000000" w:rsidR="00000000" w:rsidRPr="00000000">
        <w:rPr>
          <w:color w:val="1f1f1f"/>
          <w:rtl w:val="0"/>
        </w:rPr>
        <w:t xml:space="preserve"> Controller continues to get information from User Model, Product Model, Voucher Model and Shipment Model respectively. After that, it calculates the order total, including taxes and shipping costs. Once the order total has been calculated, the PaymentController component places the order with the Payment UI.</w:t>
      </w:r>
    </w:p>
    <w:p w:rsidR="00000000" w:rsidDel="00000000" w:rsidP="00000000" w:rsidRDefault="00000000" w:rsidRPr="00000000" w14:paraId="00000039">
      <w:pPr>
        <w:shd w:fill="ffffff" w:val="clear"/>
        <w:spacing w:after="360" w:before="360" w:lineRule="auto"/>
        <w:ind w:left="720" w:firstLine="0"/>
        <w:rPr/>
      </w:pPr>
      <w:r w:rsidDel="00000000" w:rsidR="00000000" w:rsidRPr="00000000">
        <w:rPr>
          <w:color w:val="1f1f1f"/>
          <w:rtl w:val="0"/>
        </w:rPr>
        <w:t xml:space="preserve">When all is done, the user clicks on a Place Order button, this will redirect </w:t>
      </w:r>
      <w:r w:rsidDel="00000000" w:rsidR="00000000" w:rsidRPr="00000000">
        <w:rPr>
          <w:color w:val="1f1f1f"/>
          <w:rtl w:val="0"/>
        </w:rPr>
        <w:t xml:space="preserve">to Confirmed</w:t>
      </w:r>
      <w:r w:rsidDel="00000000" w:rsidR="00000000" w:rsidRPr="00000000">
        <w:rPr>
          <w:color w:val="1f1f1f"/>
          <w:rtl w:val="0"/>
        </w:rPr>
        <w:t xml:space="preserve"> Page.</w:t>
      </w:r>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pPr>
      <w:r w:rsidDel="00000000" w:rsidR="00000000" w:rsidRPr="00000000">
        <w:rPr>
          <w:rtl w:val="0"/>
        </w:rPr>
        <w:t xml:space="preserve">Sequence diagram</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r w:rsidDel="00000000" w:rsidR="00000000" w:rsidRPr="00000000">
        <w:rPr>
          <w:rtl w:val="0"/>
        </w:rPr>
        <w:t xml:space="preserve">Class diagram</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5.19685039370086" w:right="0" w:hanging="283.464566929134"/>
        <w:jc w:val="left"/>
        <w:rPr/>
      </w:pPr>
      <w:r w:rsidDel="00000000" w:rsidR="00000000" w:rsidRPr="00000000">
        <w:rPr/>
        <w:drawing>
          <wp:inline distB="114300" distT="114300" distL="114300" distR="114300">
            <wp:extent cx="5943600" cy="7010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5.19685039370086" w:right="0" w:hanging="283.464566929134"/>
        <w:jc w:val="left"/>
        <w:rPr/>
      </w:pP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bookmarkStart w:colFirst="0" w:colLast="0" w:name="_heading=h.1t3h5sf" w:id="8"/>
      <w:bookmarkEnd w:id="8"/>
      <w:r w:rsidDel="00000000" w:rsidR="00000000" w:rsidRPr="00000000">
        <w:rPr>
          <w:rtl w:val="0"/>
        </w:rPr>
        <w:t xml:space="preserve">Derived Requirements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1f1f1f"/>
          <w:highlight w:val="white"/>
        </w:rPr>
      </w:pPr>
      <w:r w:rsidDel="00000000" w:rsidR="00000000" w:rsidRPr="00000000">
        <w:rPr>
          <w:rFonts w:ascii="Arial" w:cs="Arial" w:eastAsia="Arial" w:hAnsi="Arial"/>
          <w:b w:val="1"/>
          <w:rtl w:val="0"/>
        </w:rPr>
        <w:t xml:space="preserve">3.1. Response time:</w:t>
      </w:r>
      <w:r w:rsidDel="00000000" w:rsidR="00000000" w:rsidRPr="00000000">
        <w:rPr>
          <w:rtl w:val="0"/>
        </w:rPr>
        <w:t xml:space="preserve"> </w:t>
      </w:r>
      <w:r w:rsidDel="00000000" w:rsidR="00000000" w:rsidRPr="00000000">
        <w:rPr>
          <w:color w:val="1f1f1f"/>
          <w:highlight w:val="white"/>
          <w:rtl w:val="0"/>
        </w:rPr>
        <w:t xml:space="preserve">The system should respond promptly to user actions, ensuring a smooth and responsive shopping experience.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color w:val="1f1f1f"/>
          <w:highlight w:val="white"/>
        </w:rPr>
      </w:pPr>
      <w:r w:rsidDel="00000000" w:rsidR="00000000" w:rsidRPr="00000000">
        <w:rPr>
          <w:rFonts w:ascii="Arial" w:cs="Arial" w:eastAsia="Arial" w:hAnsi="Arial"/>
          <w:b w:val="1"/>
          <w:color w:val="1f1f1f"/>
          <w:highlight w:val="white"/>
          <w:rtl w:val="0"/>
        </w:rPr>
        <w:t xml:space="preserve">3.2. Security: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1f1f1f"/>
          <w:highlight w:val="white"/>
        </w:rPr>
      </w:pPr>
      <w:r w:rsidDel="00000000" w:rsidR="00000000" w:rsidRPr="00000000">
        <w:rPr>
          <w:color w:val="1f1f1f"/>
          <w:highlight w:val="white"/>
          <w:rtl w:val="0"/>
        </w:rPr>
        <w:t xml:space="preserve">Data Protection: Customer data, including personal information and payment details, must be  protected with robust security measures to prevent unauthorized access and data breaches.</w:t>
      </w:r>
    </w:p>
    <w:p w:rsidR="00000000" w:rsidDel="00000000" w:rsidP="00000000" w:rsidRDefault="00000000" w:rsidRPr="00000000" w14:paraId="00000044">
      <w:pPr>
        <w:shd w:fill="ffffff" w:val="clear"/>
        <w:spacing w:after="220" w:before="60" w:lineRule="auto"/>
        <w:ind w:left="0" w:firstLine="0"/>
        <w:rPr/>
      </w:pPr>
      <w:r w:rsidDel="00000000" w:rsidR="00000000" w:rsidRPr="00000000">
        <w:rPr>
          <w:color w:val="1f1f1f"/>
          <w:highlight w:val="white"/>
          <w:rtl w:val="0"/>
        </w:rPr>
        <w:t xml:space="preserve">Secure Payment Processing: The payment gateway integration should adhere to industry-standard security protocols to safeguard sensitive financial information.</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center"/>
            <w:rPr/>
          </w:pPr>
          <w:r w:rsidDel="00000000" w:rsidR="00000000" w:rsidRPr="00000000">
            <w:rPr>
              <w:rtl w:val="0"/>
            </w:rPr>
            <w:t xml:space="preserve">©&lt;Hanu&gt;,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w:t>
    </w:r>
  </w:p>
  <w:p w:rsidR="00000000" w:rsidDel="00000000" w:rsidP="00000000" w:rsidRDefault="00000000" w:rsidRPr="00000000" w14:paraId="0000004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C">
          <w:pPr>
            <w:rPr/>
          </w:pPr>
          <w:r w:rsidDel="00000000" w:rsidR="00000000" w:rsidRPr="00000000">
            <w:rPr>
              <w:rtl w:val="0"/>
            </w:rPr>
            <w:t xml:space="preserve">Shopee</w:t>
          </w:r>
        </w:p>
      </w:tc>
      <w:tc>
        <w:tcPr/>
        <w:p w:rsidR="00000000" w:rsidDel="00000000" w:rsidP="00000000" w:rsidRDefault="00000000" w:rsidRPr="00000000" w14:paraId="0000004D">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Use-Case-Realization Specification: Make Payment</w:t>
          </w:r>
        </w:p>
      </w:tc>
      <w:tc>
        <w:tcPr/>
        <w:p w:rsidR="00000000" w:rsidDel="00000000" w:rsidP="00000000" w:rsidRDefault="00000000" w:rsidRPr="00000000" w14:paraId="0000004F">
          <w:pPr>
            <w:rPr/>
          </w:pPr>
          <w:r w:rsidDel="00000000" w:rsidR="00000000" w:rsidRPr="00000000">
            <w:rPr>
              <w:rtl w:val="0"/>
            </w:rPr>
            <w:t xml:space="preserve">  Issue Date: 17, Dec, 2023</w:t>
          </w:r>
        </w:p>
      </w:tc>
    </w:tr>
    <w:tr>
      <w:trPr>
        <w:cantSplit w:val="0"/>
        <w:tblHeader w:val="0"/>
      </w:trPr>
      <w:tc>
        <w:tcPr>
          <w:gridSpan w:val="2"/>
        </w:tcPr>
        <w:p w:rsidR="00000000" w:rsidDel="00000000" w:rsidP="00000000" w:rsidRDefault="00000000" w:rsidRPr="00000000" w14:paraId="00000050">
          <w:pPr>
            <w:rPr/>
          </w:pPr>
          <w:r w:rsidDel="00000000" w:rsidR="00000000" w:rsidRPr="00000000">
            <w:rPr>
              <w:rtl w:val="0"/>
            </w:rPr>
            <w:t xml:space="preserve">D02</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kfZhVt4VTTnZJBNEGv7HdXnTog==">CgMxLjAyCGguZ2pkZ3hzMgloLjMwajB6bGwyCWguMWZvYjl0ZTIJaC4zem55c2g3MgloLjJldDkycDAyCGgudHlqY3d0MgloLjNkeTZ2a20yDmguaXJ5NXQ3YTdoc2lqMgloLjF0M2g1c2Y4AHIhMVhPUFMtTXJwNUdTdV9XWExpalprNGpRWUdTMFZyZWIw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