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including statics. A plausible-looking template that does not actually work would serve wrong figures to every later mail of this sender, </w:t>
      </w:r>
      <w:r>
        <w:rPr>
          <w:i/>
        </w:rPr>
        <w:t>on both transports</w:t>
      </w:r>
      <w:r>
        <w:rPr/>
        <w:t>. No proof, no template.</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