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BẢNG ĐÁP ÁN NHANH — 20 MÃ ĐỀ (ĐỢT 1)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NGỮ PHÁP TRUNG CẤP (711011) · Part A: mỗi câu 0,4đ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</w:tblGrid>
      <w:tr>
        <w:tc>
          <w:tcPr>
            <w:tcW w:type="dxa" w:w="96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Mã đề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8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9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10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11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12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13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14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15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16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17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18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19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01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02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03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04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05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06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07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08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09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10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11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12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13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14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15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16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17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18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19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20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</w:tr>
    </w:tbl>
    <w:p>
      <w:pPr>
        <w:spacing w:after="80" w:before="0"/>
      </w:pPr>
    </w:p>
    <w:p>
      <w:pPr>
        <w:spacing w:after="0" w:before="0"/>
      </w:pPr>
      <w:r>
        <w:rPr>
          <w:b w:val="0"/>
          <w:i w:val="0"/>
          <w:sz w:val="20"/>
        </w:rPr>
        <w:t>Part B (câu 21–24): chấm theo đáp án mẫu + thang 0,5 / 0,25 / 0 trong file đáp án của từng mã đề.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