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BF3" w:rsidRDefault="00CE10D7" w:rsidP="003B6BF3">
      <w:r>
        <w:rPr>
          <w:noProof/>
        </w:rPr>
        <w:pict>
          <v:rect id="_x0000_i1041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1"/>
      </w:pPr>
      <w:r>
        <w:rPr>
          <w:rStyle w:val="Strong"/>
          <w:b/>
          <w:bCs/>
        </w:rPr>
        <w:t>CHẾ ĐỘ NGHỈ PHÉP VÀ PHÚC LỢI LIÊN QUAN CỦA CÔNG TY</w: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MỤC LỤC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Quy định nghỉ lễ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Nghỉ phép thường niên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Nghỉ kết hôn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Nghỉ không hưởng lương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Chế độ thai sản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Chế độ ốm đau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Chi phí trợ cấp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Nghỉ mát / du lịch công ty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Chính sách TMS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Trợ cấp BHXH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Trợ cấp thai sản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Trợ cấp ốm đau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Trợ cấp dưỡng thai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Ngày nghỉ trong các dịp lễ, Tết</w:t>
      </w:r>
    </w:p>
    <w:p w:rsidR="003B6BF3" w:rsidRDefault="003B6BF3" w:rsidP="003B6BF3">
      <w:pPr>
        <w:pStyle w:val="NormalWeb"/>
        <w:numPr>
          <w:ilvl w:val="0"/>
          <w:numId w:val="17"/>
        </w:numPr>
      </w:pPr>
      <w:r>
        <w:t>Nghỉ hưởng BHXH</w:t>
      </w:r>
    </w:p>
    <w:p w:rsidR="003B6BF3" w:rsidRDefault="00CE10D7" w:rsidP="003B6BF3">
      <w:r>
        <w:rPr>
          <w:noProof/>
        </w:rPr>
        <w:pict>
          <v:rect id="_x0000_i1040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1. Quy định nghỉ lễ</w:t>
      </w:r>
    </w:p>
    <w:p w:rsidR="003B6BF3" w:rsidRDefault="003B6BF3" w:rsidP="003B6BF3">
      <w:pPr>
        <w:pStyle w:val="NormalWeb"/>
        <w:numPr>
          <w:ilvl w:val="0"/>
          <w:numId w:val="18"/>
        </w:numPr>
      </w:pPr>
      <w:r>
        <w:t>Nhân viên được nghỉ các ngày lễ theo quy định của Nhà nước:</w:t>
      </w:r>
    </w:p>
    <w:p w:rsidR="003B6BF3" w:rsidRDefault="003B6BF3" w:rsidP="003B6BF3">
      <w:pPr>
        <w:pStyle w:val="NormalWeb"/>
        <w:numPr>
          <w:ilvl w:val="1"/>
          <w:numId w:val="18"/>
        </w:numPr>
      </w:pPr>
      <w:r>
        <w:t>Tết Dương lịch: 01 ngày (1/1)</w:t>
      </w:r>
    </w:p>
    <w:p w:rsidR="003B6BF3" w:rsidRDefault="003B6BF3" w:rsidP="003B6BF3">
      <w:pPr>
        <w:pStyle w:val="NormalWeb"/>
        <w:numPr>
          <w:ilvl w:val="1"/>
          <w:numId w:val="18"/>
        </w:numPr>
      </w:pPr>
      <w:r>
        <w:t>Tết Nguyên đán: 05 ngày (có thể thay đổi theo từng năm)</w:t>
      </w:r>
    </w:p>
    <w:p w:rsidR="003B6BF3" w:rsidRDefault="003B6BF3" w:rsidP="003B6BF3">
      <w:pPr>
        <w:pStyle w:val="NormalWeb"/>
        <w:numPr>
          <w:ilvl w:val="1"/>
          <w:numId w:val="18"/>
        </w:numPr>
      </w:pPr>
      <w:r>
        <w:t>Giỗ Tổ Hùng Vương: 01 ngày (10/3 Âm lịch)</w:t>
      </w:r>
    </w:p>
    <w:p w:rsidR="003B6BF3" w:rsidRDefault="003B6BF3" w:rsidP="003B6BF3">
      <w:pPr>
        <w:pStyle w:val="NormalWeb"/>
        <w:numPr>
          <w:ilvl w:val="1"/>
          <w:numId w:val="18"/>
        </w:numPr>
      </w:pPr>
      <w:r>
        <w:t>Ngày Giải phóng Miền Nam (30/4): 01 ngày</w:t>
      </w:r>
    </w:p>
    <w:p w:rsidR="003B6BF3" w:rsidRDefault="003B6BF3" w:rsidP="003B6BF3">
      <w:pPr>
        <w:pStyle w:val="NormalWeb"/>
        <w:numPr>
          <w:ilvl w:val="1"/>
          <w:numId w:val="18"/>
        </w:numPr>
      </w:pPr>
      <w:r>
        <w:t>Ngày Quốc tế Lao động (1/5): 01 ngày</w:t>
      </w:r>
    </w:p>
    <w:p w:rsidR="003B6BF3" w:rsidRDefault="003B6BF3" w:rsidP="003B6BF3">
      <w:pPr>
        <w:pStyle w:val="NormalWeb"/>
        <w:numPr>
          <w:ilvl w:val="1"/>
          <w:numId w:val="18"/>
        </w:numPr>
      </w:pPr>
      <w:r>
        <w:t>Ngày Quốc khánh (2/9): 02 ngày</w:t>
      </w:r>
    </w:p>
    <w:p w:rsidR="003B6BF3" w:rsidRDefault="003B6BF3" w:rsidP="003B6BF3">
      <w:pPr>
        <w:pStyle w:val="NormalWeb"/>
        <w:numPr>
          <w:ilvl w:val="0"/>
          <w:numId w:val="18"/>
        </w:numPr>
      </w:pPr>
      <w:r>
        <w:t>Công ty có thể tổ chức nghỉ bổ sung tùy tình hình hoạt động (thông báo trước).</w:t>
      </w:r>
    </w:p>
    <w:p w:rsidR="003B6BF3" w:rsidRDefault="00CE10D7" w:rsidP="003B6BF3">
      <w:r>
        <w:rPr>
          <w:noProof/>
        </w:rPr>
        <w:pict>
          <v:rect id="_x0000_i1039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2. Nghỉ phép thường niên</w:t>
      </w:r>
    </w:p>
    <w:p w:rsidR="003B6BF3" w:rsidRDefault="003B6BF3" w:rsidP="003B6BF3">
      <w:pPr>
        <w:pStyle w:val="NormalWeb"/>
        <w:numPr>
          <w:ilvl w:val="0"/>
          <w:numId w:val="19"/>
        </w:numPr>
      </w:pPr>
      <w:r>
        <w:t>Mỗi nhân viên chính thức được nghỉ 12 ngày phép có lương/năm.</w:t>
      </w:r>
    </w:p>
    <w:p w:rsidR="003B6BF3" w:rsidRDefault="003B6BF3" w:rsidP="003B6BF3">
      <w:pPr>
        <w:pStyle w:val="NormalWeb"/>
        <w:numPr>
          <w:ilvl w:val="0"/>
          <w:numId w:val="19"/>
        </w:numPr>
      </w:pPr>
      <w:r>
        <w:t>Nhân viên làm việc đủ 12 tháng liên tục mới được nghỉ phép đủ năm.</w:t>
      </w:r>
    </w:p>
    <w:p w:rsidR="003B6BF3" w:rsidRDefault="003B6BF3" w:rsidP="003B6BF3">
      <w:pPr>
        <w:pStyle w:val="NormalWeb"/>
        <w:numPr>
          <w:ilvl w:val="0"/>
          <w:numId w:val="19"/>
        </w:numPr>
      </w:pPr>
      <w:r>
        <w:t>Nếu nghỉ không hết trong năm, có thể được chuyển sang năm kế tiếp (không quá 6 tháng).</w:t>
      </w:r>
    </w:p>
    <w:p w:rsidR="003B6BF3" w:rsidRDefault="003B6BF3" w:rsidP="003B6BF3">
      <w:pPr>
        <w:pStyle w:val="NormalWeb"/>
        <w:numPr>
          <w:ilvl w:val="0"/>
          <w:numId w:val="19"/>
        </w:numPr>
      </w:pPr>
      <w:r>
        <w:t>Cách tính số ngày phép được quy định theo Luật Lao động và nội quy công ty.</w:t>
      </w:r>
    </w:p>
    <w:p w:rsidR="003B6BF3" w:rsidRDefault="00CE10D7" w:rsidP="003B6BF3">
      <w:r>
        <w:rPr>
          <w:noProof/>
        </w:rPr>
        <w:lastRenderedPageBreak/>
        <w:pict>
          <v:rect id="_x0000_i1038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3. Nghỉ kết hôn</w:t>
      </w:r>
    </w:p>
    <w:p w:rsidR="003B6BF3" w:rsidRDefault="003B6BF3" w:rsidP="003B6BF3">
      <w:pPr>
        <w:pStyle w:val="NormalWeb"/>
        <w:numPr>
          <w:ilvl w:val="0"/>
          <w:numId w:val="20"/>
        </w:numPr>
      </w:pPr>
      <w:r>
        <w:t>Nhân viên kết hôn: nghỉ 03 ngày (có lương).</w:t>
      </w:r>
    </w:p>
    <w:p w:rsidR="003B6BF3" w:rsidRDefault="003B6BF3" w:rsidP="003B6BF3">
      <w:pPr>
        <w:pStyle w:val="NormalWeb"/>
        <w:numPr>
          <w:ilvl w:val="0"/>
          <w:numId w:val="20"/>
        </w:numPr>
      </w:pPr>
      <w:r>
        <w:t>Con ruột kết hôn: nghỉ 01 ngày (có lương).</w:t>
      </w:r>
    </w:p>
    <w:p w:rsidR="003B6BF3" w:rsidRDefault="003B6BF3" w:rsidP="003B6BF3">
      <w:pPr>
        <w:pStyle w:val="NormalWeb"/>
        <w:numPr>
          <w:ilvl w:val="0"/>
          <w:numId w:val="20"/>
        </w:numPr>
      </w:pPr>
      <w:r>
        <w:t>Anh/chị/em ruột kết hôn: nghỉ 01 ngày (không lương hoặc theo quy định riêng của phòng ban).</w:t>
      </w:r>
    </w:p>
    <w:p w:rsidR="003B6BF3" w:rsidRDefault="00CE10D7" w:rsidP="003B6BF3">
      <w:r>
        <w:rPr>
          <w:noProof/>
        </w:rPr>
        <w:pict>
          <v:rect id="_x0000_i1037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4. Nghỉ không hưởng lương</w:t>
      </w:r>
    </w:p>
    <w:p w:rsidR="003B6BF3" w:rsidRDefault="003B6BF3" w:rsidP="003B6BF3">
      <w:pPr>
        <w:pStyle w:val="NormalWeb"/>
        <w:numPr>
          <w:ilvl w:val="0"/>
          <w:numId w:val="21"/>
        </w:numPr>
      </w:pPr>
      <w:r>
        <w:t>Nhân viên có thể xin nghỉ không hưởng lương trong các trường hợp đặc biệt (gia đình, cá nhân...).</w:t>
      </w:r>
    </w:p>
    <w:p w:rsidR="003B6BF3" w:rsidRDefault="003B6BF3" w:rsidP="003B6BF3">
      <w:pPr>
        <w:pStyle w:val="NormalWeb"/>
        <w:numPr>
          <w:ilvl w:val="0"/>
          <w:numId w:val="21"/>
        </w:numPr>
      </w:pPr>
      <w:r>
        <w:t>Thời gian nghỉ không vượt quá 30 ngày/năm.</w:t>
      </w:r>
    </w:p>
    <w:p w:rsidR="003B6BF3" w:rsidRDefault="003B6BF3" w:rsidP="003B6BF3">
      <w:pPr>
        <w:pStyle w:val="NormalWeb"/>
        <w:numPr>
          <w:ilvl w:val="0"/>
          <w:numId w:val="21"/>
        </w:numPr>
      </w:pPr>
      <w:r>
        <w:t>Cần có đơn xin nghỉ và được phê duyệt bởi cấp quản lý trực tiếp và phòng Nhân sự.</w:t>
      </w:r>
    </w:p>
    <w:p w:rsidR="003B6BF3" w:rsidRDefault="00CE10D7" w:rsidP="003B6BF3">
      <w:r>
        <w:rPr>
          <w:noProof/>
        </w:rPr>
        <w:pict>
          <v:rect id="_x0000_i1036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5. Chế độ thai sản</w:t>
      </w:r>
    </w:p>
    <w:p w:rsidR="003B6BF3" w:rsidRDefault="003B6BF3" w:rsidP="003B6BF3">
      <w:pPr>
        <w:pStyle w:val="NormalWeb"/>
        <w:numPr>
          <w:ilvl w:val="0"/>
          <w:numId w:val="22"/>
        </w:numPr>
      </w:pPr>
      <w:r>
        <w:t>Nhân viên nữ mang thai được nghỉ thai sản 06 tháng.</w:t>
      </w:r>
    </w:p>
    <w:p w:rsidR="003B6BF3" w:rsidRDefault="003B6BF3" w:rsidP="003B6BF3">
      <w:pPr>
        <w:pStyle w:val="NormalWeb"/>
        <w:numPr>
          <w:ilvl w:val="0"/>
          <w:numId w:val="22"/>
        </w:numPr>
      </w:pPr>
      <w:r>
        <w:t>Có thể nghỉ trước sinh tối đa 02 tháng.</w:t>
      </w:r>
    </w:p>
    <w:p w:rsidR="003B6BF3" w:rsidRDefault="003B6BF3" w:rsidP="003B6BF3">
      <w:pPr>
        <w:pStyle w:val="NormalWeb"/>
        <w:numPr>
          <w:ilvl w:val="0"/>
          <w:numId w:val="22"/>
        </w:numPr>
      </w:pPr>
      <w:r>
        <w:t>Trong thời gian nghỉ, được hưởng trợ cấp thai sản theo quy định BHXH.</w:t>
      </w:r>
    </w:p>
    <w:p w:rsidR="003B6BF3" w:rsidRDefault="003B6BF3" w:rsidP="003B6BF3">
      <w:pPr>
        <w:pStyle w:val="NormalWeb"/>
        <w:numPr>
          <w:ilvl w:val="0"/>
          <w:numId w:val="22"/>
        </w:numPr>
      </w:pPr>
      <w:r>
        <w:t>Điều kiện: Đóng BHXH từ đủ 06 tháng trở lên trong vòng 12 tháng trước sinh.</w:t>
      </w:r>
    </w:p>
    <w:p w:rsidR="003B6BF3" w:rsidRDefault="00CE10D7" w:rsidP="003B6BF3">
      <w:r>
        <w:rPr>
          <w:noProof/>
        </w:rPr>
        <w:pict>
          <v:rect id="_x0000_i1035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6. Chế độ ốm đau</w:t>
      </w:r>
    </w:p>
    <w:p w:rsidR="003B6BF3" w:rsidRDefault="003B6BF3" w:rsidP="003B6BF3">
      <w:pPr>
        <w:pStyle w:val="NormalWeb"/>
        <w:numPr>
          <w:ilvl w:val="0"/>
          <w:numId w:val="23"/>
        </w:numPr>
      </w:pPr>
      <w:r>
        <w:t>Nhân viên bị ốm được nghỉ hưởng chế độ BHXH nếu có giấy tờ y tế hợp lệ.</w:t>
      </w:r>
    </w:p>
    <w:p w:rsidR="003B6BF3" w:rsidRDefault="003B6BF3" w:rsidP="003B6BF3">
      <w:pPr>
        <w:pStyle w:val="NormalWeb"/>
        <w:numPr>
          <w:ilvl w:val="0"/>
          <w:numId w:val="23"/>
        </w:numPr>
      </w:pPr>
      <w:r>
        <w:t>Thời gian nghỉ tùy theo thời gian đóng BHXH và loại bệnh:</w:t>
      </w:r>
    </w:p>
    <w:p w:rsidR="003B6BF3" w:rsidRDefault="003B6BF3" w:rsidP="003B6BF3">
      <w:pPr>
        <w:pStyle w:val="NormalWeb"/>
        <w:numPr>
          <w:ilvl w:val="1"/>
          <w:numId w:val="23"/>
        </w:numPr>
      </w:pPr>
      <w:r>
        <w:t>Tối đa 30 ngày/năm nếu dưới 15 năm đóng BHXH.</w:t>
      </w:r>
    </w:p>
    <w:p w:rsidR="003B6BF3" w:rsidRDefault="003B6BF3" w:rsidP="003B6BF3">
      <w:pPr>
        <w:pStyle w:val="NormalWeb"/>
        <w:numPr>
          <w:ilvl w:val="1"/>
          <w:numId w:val="23"/>
        </w:numPr>
      </w:pPr>
      <w:r>
        <w:t>Tối đa 40–60 ngày với bệnh dài ngày hoặc đã đóng BHXH đủ điều kiện.</w:t>
      </w:r>
    </w:p>
    <w:p w:rsidR="003B6BF3" w:rsidRDefault="003B6BF3" w:rsidP="003B6BF3">
      <w:pPr>
        <w:pStyle w:val="NormalWeb"/>
        <w:numPr>
          <w:ilvl w:val="0"/>
          <w:numId w:val="23"/>
        </w:numPr>
      </w:pPr>
      <w:r>
        <w:t>Hồ sơ: Giấy ra viện, đơn thuốc, giấy nghỉ ốm hưởng BHXH (mẫu C65-HD).</w:t>
      </w:r>
    </w:p>
    <w:p w:rsidR="003B6BF3" w:rsidRDefault="00CE10D7" w:rsidP="003B6BF3">
      <w:r>
        <w:rPr>
          <w:noProof/>
        </w:rPr>
        <w:pict>
          <v:rect id="_x0000_i1034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7. Chi phí trợ cấp</w:t>
      </w:r>
    </w:p>
    <w:p w:rsidR="003B6BF3" w:rsidRDefault="003B6BF3" w:rsidP="003B6BF3">
      <w:pPr>
        <w:pStyle w:val="NormalWeb"/>
        <w:numPr>
          <w:ilvl w:val="0"/>
          <w:numId w:val="24"/>
        </w:numPr>
      </w:pPr>
      <w:r>
        <w:t>Các loại trợ cấp nhân viên có thể được hưởng:</w:t>
      </w:r>
    </w:p>
    <w:p w:rsidR="003B6BF3" w:rsidRDefault="003B6BF3" w:rsidP="003B6BF3">
      <w:pPr>
        <w:pStyle w:val="NormalWeb"/>
        <w:numPr>
          <w:ilvl w:val="1"/>
          <w:numId w:val="24"/>
        </w:numPr>
      </w:pPr>
      <w:r>
        <w:t>Trợ cấp ăn trưa.</w:t>
      </w:r>
    </w:p>
    <w:p w:rsidR="003B6BF3" w:rsidRDefault="003B6BF3" w:rsidP="003B6BF3">
      <w:pPr>
        <w:pStyle w:val="NormalWeb"/>
        <w:numPr>
          <w:ilvl w:val="1"/>
          <w:numId w:val="24"/>
        </w:numPr>
      </w:pPr>
      <w:r>
        <w:t>Trợ cấp đi lại (nếu có).</w:t>
      </w:r>
    </w:p>
    <w:p w:rsidR="003B6BF3" w:rsidRDefault="003B6BF3" w:rsidP="003B6BF3">
      <w:pPr>
        <w:pStyle w:val="NormalWeb"/>
        <w:numPr>
          <w:ilvl w:val="1"/>
          <w:numId w:val="24"/>
        </w:numPr>
      </w:pPr>
      <w:r>
        <w:t>Trợ cấp chuyên cần.</w:t>
      </w:r>
    </w:p>
    <w:p w:rsidR="003B6BF3" w:rsidRDefault="003B6BF3" w:rsidP="003B6BF3">
      <w:pPr>
        <w:pStyle w:val="NormalWeb"/>
        <w:numPr>
          <w:ilvl w:val="1"/>
          <w:numId w:val="24"/>
        </w:numPr>
      </w:pPr>
      <w:r>
        <w:lastRenderedPageBreak/>
        <w:t>Trợ cấp xăng xe/điện thoại (theo từng vị trí).</w:t>
      </w:r>
    </w:p>
    <w:p w:rsidR="003B6BF3" w:rsidRDefault="003B6BF3" w:rsidP="003B6BF3">
      <w:pPr>
        <w:pStyle w:val="NormalWeb"/>
        <w:numPr>
          <w:ilvl w:val="1"/>
          <w:numId w:val="24"/>
        </w:numPr>
      </w:pPr>
      <w:r>
        <w:t>Trợ cấp nhà ở (nếu được cử đi công tác xa).</w:t>
      </w:r>
    </w:p>
    <w:p w:rsidR="003B6BF3" w:rsidRDefault="003B6BF3" w:rsidP="003B6BF3">
      <w:pPr>
        <w:pStyle w:val="NormalWeb"/>
        <w:numPr>
          <w:ilvl w:val="0"/>
          <w:numId w:val="24"/>
        </w:numPr>
      </w:pPr>
      <w:r>
        <w:t>Mức trợ cấp cụ thể do công ty quy định tùy vị trí và chính sách từng thời kỳ.</w:t>
      </w:r>
    </w:p>
    <w:p w:rsidR="003B6BF3" w:rsidRDefault="00CE10D7" w:rsidP="003B6BF3">
      <w:r>
        <w:rPr>
          <w:noProof/>
        </w:rPr>
        <w:pict>
          <v:rect id="_x0000_i1033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8. Nghỉ mát / du lịch công ty</w:t>
      </w:r>
    </w:p>
    <w:p w:rsidR="003B6BF3" w:rsidRDefault="003B6BF3" w:rsidP="003B6BF3">
      <w:pPr>
        <w:pStyle w:val="NormalWeb"/>
        <w:numPr>
          <w:ilvl w:val="0"/>
          <w:numId w:val="25"/>
        </w:numPr>
      </w:pPr>
      <w:r>
        <w:t>Công ty tổ chức nghỉ mát hàng năm cho toàn thể nhân viên (1 lần/năm).</w:t>
      </w:r>
    </w:p>
    <w:p w:rsidR="003B6BF3" w:rsidRDefault="003B6BF3" w:rsidP="003B6BF3">
      <w:pPr>
        <w:pStyle w:val="NormalWeb"/>
        <w:numPr>
          <w:ilvl w:val="0"/>
          <w:numId w:val="25"/>
        </w:numPr>
      </w:pPr>
      <w:r>
        <w:t>Thời gian: Tùy sắp xếp từng năm, thường từ 2–3 ngày.</w:t>
      </w:r>
    </w:p>
    <w:p w:rsidR="003B6BF3" w:rsidRDefault="003B6BF3" w:rsidP="003B6BF3">
      <w:pPr>
        <w:pStyle w:val="NormalWeb"/>
        <w:numPr>
          <w:ilvl w:val="0"/>
          <w:numId w:val="25"/>
        </w:numPr>
      </w:pPr>
      <w:r>
        <w:t>Chi phí:</w:t>
      </w:r>
    </w:p>
    <w:p w:rsidR="003B6BF3" w:rsidRDefault="003B6BF3" w:rsidP="003B6BF3">
      <w:pPr>
        <w:pStyle w:val="NormalWeb"/>
        <w:numPr>
          <w:ilvl w:val="1"/>
          <w:numId w:val="25"/>
        </w:numPr>
      </w:pPr>
      <w:r>
        <w:t>Công ty chi trả 100% hoặc 1 phần chi phí (tùy ngân sách từng năm).</w:t>
      </w:r>
    </w:p>
    <w:p w:rsidR="003B6BF3" w:rsidRDefault="003B6BF3" w:rsidP="003B6BF3">
      <w:pPr>
        <w:pStyle w:val="NormalWeb"/>
        <w:numPr>
          <w:ilvl w:val="1"/>
          <w:numId w:val="25"/>
        </w:numPr>
      </w:pPr>
      <w:r>
        <w:t>Nhân viên có thể đăng ký đưa người thân đi kèm (tự túc chi phí phần phát sinh).</w:t>
      </w:r>
    </w:p>
    <w:p w:rsidR="003B6BF3" w:rsidRDefault="00CE10D7" w:rsidP="003B6BF3">
      <w:r>
        <w:rPr>
          <w:noProof/>
        </w:rPr>
        <w:pict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9. Chính sách TMS</w:t>
      </w:r>
    </w:p>
    <w:p w:rsidR="003B6BF3" w:rsidRDefault="003B6BF3" w:rsidP="003B6BF3">
      <w:pPr>
        <w:pStyle w:val="NormalWeb"/>
        <w:numPr>
          <w:ilvl w:val="0"/>
          <w:numId w:val="26"/>
        </w:numPr>
      </w:pPr>
      <w:r>
        <w:rPr>
          <w:rStyle w:val="Strong"/>
        </w:rPr>
        <w:t>TMS (Talent Management System)</w:t>
      </w:r>
      <w:r>
        <w:t xml:space="preserve"> là hệ thống quản lý năng lực, đánh giá hiệu suất và phát triển cá nhân.</w:t>
      </w:r>
    </w:p>
    <w:p w:rsidR="003B6BF3" w:rsidRDefault="003B6BF3" w:rsidP="003B6BF3">
      <w:pPr>
        <w:pStyle w:val="NormalWeb"/>
        <w:numPr>
          <w:ilvl w:val="0"/>
          <w:numId w:val="26"/>
        </w:numPr>
      </w:pPr>
      <w:r>
        <w:t>Nhân viên có cơ hội:</w:t>
      </w:r>
    </w:p>
    <w:p w:rsidR="003B6BF3" w:rsidRDefault="003B6BF3" w:rsidP="003B6BF3">
      <w:pPr>
        <w:pStyle w:val="NormalWeb"/>
        <w:numPr>
          <w:ilvl w:val="1"/>
          <w:numId w:val="26"/>
        </w:numPr>
      </w:pPr>
      <w:r>
        <w:t>Được đánh giá định kỳ (theo OKR/KPI).</w:t>
      </w:r>
    </w:p>
    <w:p w:rsidR="003B6BF3" w:rsidRDefault="003B6BF3" w:rsidP="003B6BF3">
      <w:pPr>
        <w:pStyle w:val="NormalWeb"/>
        <w:numPr>
          <w:ilvl w:val="1"/>
          <w:numId w:val="26"/>
        </w:numPr>
      </w:pPr>
      <w:r>
        <w:t>Thăng tiến, tăng lương theo năng lực.</w:t>
      </w:r>
    </w:p>
    <w:p w:rsidR="003B6BF3" w:rsidRDefault="003B6BF3" w:rsidP="003B6BF3">
      <w:pPr>
        <w:pStyle w:val="NormalWeb"/>
        <w:numPr>
          <w:ilvl w:val="1"/>
          <w:numId w:val="26"/>
        </w:numPr>
      </w:pPr>
      <w:r>
        <w:t>Tham gia khóa đào tạo nội bộ, phát triển kỹ năng.</w:t>
      </w:r>
    </w:p>
    <w:p w:rsidR="003B6BF3" w:rsidRDefault="003B6BF3" w:rsidP="003B6BF3">
      <w:pPr>
        <w:pStyle w:val="NormalWeb"/>
        <w:numPr>
          <w:ilvl w:val="0"/>
          <w:numId w:val="26"/>
        </w:numPr>
      </w:pPr>
      <w:r>
        <w:t>Chính sách được áp dụng toàn công ty và cập nhật hàng quý.</w:t>
      </w:r>
    </w:p>
    <w:p w:rsidR="003B6BF3" w:rsidRDefault="00CE10D7" w:rsidP="003B6BF3">
      <w:r>
        <w:rPr>
          <w:noProof/>
        </w:rPr>
        <w:pict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10. Trợ cấp BHXH</w:t>
      </w:r>
    </w:p>
    <w:p w:rsidR="003B6BF3" w:rsidRDefault="003B6BF3" w:rsidP="003B6BF3">
      <w:pPr>
        <w:pStyle w:val="NormalWeb"/>
        <w:numPr>
          <w:ilvl w:val="0"/>
          <w:numId w:val="27"/>
        </w:numPr>
      </w:pPr>
      <w:r>
        <w:t>BHXH chi trả các chế độ:</w:t>
      </w:r>
    </w:p>
    <w:p w:rsidR="003B6BF3" w:rsidRDefault="003B6BF3" w:rsidP="003B6BF3">
      <w:pPr>
        <w:pStyle w:val="NormalWeb"/>
        <w:numPr>
          <w:ilvl w:val="1"/>
          <w:numId w:val="27"/>
        </w:numPr>
      </w:pPr>
      <w:r>
        <w:t>Thai sản.</w:t>
      </w:r>
    </w:p>
    <w:p w:rsidR="003B6BF3" w:rsidRDefault="003B6BF3" w:rsidP="003B6BF3">
      <w:pPr>
        <w:pStyle w:val="NormalWeb"/>
        <w:numPr>
          <w:ilvl w:val="1"/>
          <w:numId w:val="27"/>
        </w:numPr>
      </w:pPr>
      <w:r>
        <w:t>Ốm đau.</w:t>
      </w:r>
    </w:p>
    <w:p w:rsidR="003B6BF3" w:rsidRDefault="003B6BF3" w:rsidP="003B6BF3">
      <w:pPr>
        <w:pStyle w:val="NormalWeb"/>
        <w:numPr>
          <w:ilvl w:val="1"/>
          <w:numId w:val="27"/>
        </w:numPr>
      </w:pPr>
      <w:r>
        <w:t>Tai nạn lao động.</w:t>
      </w:r>
    </w:p>
    <w:p w:rsidR="003B6BF3" w:rsidRDefault="003B6BF3" w:rsidP="003B6BF3">
      <w:pPr>
        <w:pStyle w:val="NormalWeb"/>
        <w:numPr>
          <w:ilvl w:val="1"/>
          <w:numId w:val="27"/>
        </w:numPr>
      </w:pPr>
      <w:r>
        <w:t>Hưu trí, tử tuất.</w:t>
      </w:r>
    </w:p>
    <w:p w:rsidR="003B6BF3" w:rsidRDefault="003B6BF3" w:rsidP="003B6BF3">
      <w:pPr>
        <w:pStyle w:val="NormalWeb"/>
        <w:numPr>
          <w:ilvl w:val="0"/>
          <w:numId w:val="27"/>
        </w:numPr>
      </w:pPr>
      <w:r>
        <w:t>Nhân viên cần hoàn tất các thủ tục với phòng Nhân sự để được hỗ trợ.</w:t>
      </w:r>
    </w:p>
    <w:p w:rsidR="003B6BF3" w:rsidRDefault="00CE10D7" w:rsidP="003B6BF3">
      <w:r>
        <w:rPr>
          <w:noProof/>
        </w:rPr>
        <w:pict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11. Trợ cấp thai sản</w:t>
      </w:r>
    </w:p>
    <w:p w:rsidR="003B6BF3" w:rsidRDefault="003B6BF3" w:rsidP="003B6BF3">
      <w:pPr>
        <w:pStyle w:val="NormalWeb"/>
        <w:numPr>
          <w:ilvl w:val="0"/>
          <w:numId w:val="28"/>
        </w:numPr>
      </w:pPr>
      <w:r>
        <w:t>BHXH chi trả 100% mức bình quân lương đóng BHXH 6 tháng gần nhất.</w:t>
      </w:r>
    </w:p>
    <w:p w:rsidR="003B6BF3" w:rsidRDefault="003B6BF3" w:rsidP="003B6BF3">
      <w:pPr>
        <w:pStyle w:val="NormalWeb"/>
        <w:numPr>
          <w:ilvl w:val="0"/>
          <w:numId w:val="28"/>
        </w:numPr>
      </w:pPr>
      <w:r>
        <w:t>Ngoài ra, công ty có thể hỗ trợ thêm bằng hiện vật hoặc tiền mặt tùy chính sách từng năm.</w:t>
      </w:r>
    </w:p>
    <w:p w:rsidR="003B6BF3" w:rsidRDefault="00CE10D7" w:rsidP="003B6BF3">
      <w:r>
        <w:rPr>
          <w:noProof/>
        </w:rPr>
        <w:lastRenderedPageBreak/>
        <w:pict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12. Trợ cấp ốm đau</w:t>
      </w:r>
    </w:p>
    <w:p w:rsidR="003B6BF3" w:rsidRDefault="003B6BF3" w:rsidP="003B6BF3">
      <w:pPr>
        <w:pStyle w:val="NormalWeb"/>
        <w:numPr>
          <w:ilvl w:val="0"/>
          <w:numId w:val="29"/>
        </w:numPr>
      </w:pPr>
      <w:r>
        <w:t>Mức hưởng do BHXH chi trả theo quy định nhà nước (75% mức lương bình quân BHXH).</w:t>
      </w:r>
    </w:p>
    <w:p w:rsidR="003B6BF3" w:rsidRDefault="003B6BF3" w:rsidP="003B6BF3">
      <w:pPr>
        <w:pStyle w:val="NormalWeb"/>
        <w:numPr>
          <w:ilvl w:val="0"/>
          <w:numId w:val="29"/>
        </w:numPr>
      </w:pPr>
      <w:r>
        <w:t>Điều kiện: Có giấy xác nhận y tế hợp lệ, đủ thời gian đóng BHXH.</w:t>
      </w:r>
    </w:p>
    <w:p w:rsidR="003B6BF3" w:rsidRDefault="00CE10D7" w:rsidP="003B6BF3">
      <w:r>
        <w:rPr>
          <w:noProof/>
        </w:rPr>
        <w:pict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13. Trợ cấp dưỡng thai</w:t>
      </w:r>
    </w:p>
    <w:p w:rsidR="003B6BF3" w:rsidRDefault="003B6BF3" w:rsidP="003B6BF3">
      <w:pPr>
        <w:pStyle w:val="NormalWeb"/>
        <w:numPr>
          <w:ilvl w:val="0"/>
          <w:numId w:val="30"/>
        </w:numPr>
      </w:pPr>
      <w:r>
        <w:t>Dành cho nữ nhân viên mang thai gặp vấn đề sức khỏe cần nghỉ dài hạn (có xác nhận của bệnh viện).</w:t>
      </w:r>
    </w:p>
    <w:p w:rsidR="003B6BF3" w:rsidRDefault="003B6BF3" w:rsidP="003B6BF3">
      <w:pPr>
        <w:pStyle w:val="NormalWeb"/>
        <w:numPr>
          <w:ilvl w:val="0"/>
          <w:numId w:val="30"/>
        </w:numPr>
      </w:pPr>
      <w:r>
        <w:t>Có thể được hỗ trợ từ BHXH và công ty (xét từng trường hợp cụ thể).</w:t>
      </w:r>
    </w:p>
    <w:p w:rsidR="003B6BF3" w:rsidRDefault="00CE10D7" w:rsidP="003B6BF3">
      <w:r>
        <w:rPr>
          <w:noProof/>
        </w:rPr>
        <w:pict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14. Ngày nghỉ trong các dịp lễ, Tết</w:t>
      </w:r>
    </w:p>
    <w:p w:rsidR="003B6BF3" w:rsidRDefault="003B6BF3" w:rsidP="003B6BF3">
      <w:pPr>
        <w:pStyle w:val="NormalWeb"/>
        <w:numPr>
          <w:ilvl w:val="0"/>
          <w:numId w:val="31"/>
        </w:numPr>
      </w:pPr>
      <w:r>
        <w:t>Công ty tuân thủ lịch nghỉ lễ theo Nhà nước.</w:t>
      </w:r>
    </w:p>
    <w:p w:rsidR="003B6BF3" w:rsidRDefault="003B6BF3" w:rsidP="003B6BF3">
      <w:pPr>
        <w:pStyle w:val="NormalWeb"/>
        <w:numPr>
          <w:ilvl w:val="0"/>
          <w:numId w:val="31"/>
        </w:numPr>
      </w:pPr>
      <w:r>
        <w:t>Có thể linh động nghỉ bù vào các dịp khác (nếu làm việc vào ngày lễ do yêu cầu công việc).</w:t>
      </w:r>
    </w:p>
    <w:p w:rsidR="003B6BF3" w:rsidRDefault="003B6BF3" w:rsidP="003B6BF3">
      <w:pPr>
        <w:pStyle w:val="NormalWeb"/>
        <w:numPr>
          <w:ilvl w:val="0"/>
          <w:numId w:val="31"/>
        </w:numPr>
      </w:pPr>
      <w:r>
        <w:t>Thông báo chính thức sẽ được gửi trước các kỳ nghỉ.</w:t>
      </w:r>
    </w:p>
    <w:p w:rsidR="003B6BF3" w:rsidRDefault="00CE10D7" w:rsidP="003B6BF3">
      <w:r>
        <w:rPr>
          <w:noProof/>
        </w:rPr>
        <w:pict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:rsidR="003B6BF3" w:rsidRDefault="003B6BF3" w:rsidP="003B6BF3">
      <w:pPr>
        <w:pStyle w:val="Heading2"/>
      </w:pPr>
      <w:r>
        <w:rPr>
          <w:rStyle w:val="Strong"/>
          <w:b/>
          <w:bCs/>
        </w:rPr>
        <w:t>15. Nghỉ hưởng BHXH</w:t>
      </w:r>
    </w:p>
    <w:p w:rsidR="003B6BF3" w:rsidRDefault="003B6BF3" w:rsidP="003B6BF3">
      <w:pPr>
        <w:pStyle w:val="NormalWeb"/>
        <w:numPr>
          <w:ilvl w:val="0"/>
          <w:numId w:val="32"/>
        </w:numPr>
      </w:pPr>
      <w:r>
        <w:t>Các hình thức:</w:t>
      </w:r>
    </w:p>
    <w:p w:rsidR="003B6BF3" w:rsidRDefault="003B6BF3" w:rsidP="003B6BF3">
      <w:pPr>
        <w:pStyle w:val="NormalWeb"/>
        <w:numPr>
          <w:ilvl w:val="1"/>
          <w:numId w:val="32"/>
        </w:numPr>
      </w:pPr>
      <w:r>
        <w:t>Nghỉ ốm, nghỉ thai sản, nghỉ dưỡng sức sau thai sản/ốm đau.</w:t>
      </w:r>
    </w:p>
    <w:p w:rsidR="003B6BF3" w:rsidRDefault="003B6BF3" w:rsidP="003B6BF3">
      <w:pPr>
        <w:pStyle w:val="NormalWeb"/>
        <w:numPr>
          <w:ilvl w:val="0"/>
          <w:numId w:val="32"/>
        </w:numPr>
      </w:pPr>
      <w:r>
        <w:t>Thủ tục:</w:t>
      </w:r>
    </w:p>
    <w:p w:rsidR="003B6BF3" w:rsidRDefault="003B6BF3" w:rsidP="003B6BF3">
      <w:pPr>
        <w:pStyle w:val="NormalWeb"/>
        <w:numPr>
          <w:ilvl w:val="1"/>
          <w:numId w:val="32"/>
        </w:numPr>
      </w:pPr>
      <w:r>
        <w:t>Nộp hồ sơ nghỉ hợp lệ.</w:t>
      </w:r>
    </w:p>
    <w:p w:rsidR="003B6BF3" w:rsidRDefault="003B6BF3" w:rsidP="003B6BF3">
      <w:pPr>
        <w:pStyle w:val="NormalWeb"/>
        <w:numPr>
          <w:ilvl w:val="1"/>
          <w:numId w:val="32"/>
        </w:numPr>
      </w:pPr>
      <w:r>
        <w:t>Phòng Nhân sự hướng dẫn hoàn thiện hồ sơ và nộp cho cơ quan BHXH.</w:t>
      </w:r>
    </w:p>
    <w:p w:rsidR="003B6BF3" w:rsidRDefault="003B6BF3" w:rsidP="003B6BF3">
      <w:pPr>
        <w:pStyle w:val="NormalWeb"/>
        <w:numPr>
          <w:ilvl w:val="0"/>
          <w:numId w:val="32"/>
        </w:numPr>
      </w:pPr>
      <w:r>
        <w:t>Quyền lợi được đảm bảo theo Luật BHXH hiện hành.</w:t>
      </w:r>
    </w:p>
    <w:p w:rsidR="00EB0643" w:rsidRPr="003B6BF3" w:rsidRDefault="00CE10D7" w:rsidP="003B6BF3">
      <w:r>
        <w:rPr>
          <w:noProof/>
        </w:rPr>
        <w:pict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sectPr w:rsidR="00EB0643" w:rsidRPr="003B6B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F1E9E"/>
    <w:multiLevelType w:val="multilevel"/>
    <w:tmpl w:val="8E68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7C2F74"/>
    <w:multiLevelType w:val="multilevel"/>
    <w:tmpl w:val="40C2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F874CD"/>
    <w:multiLevelType w:val="multilevel"/>
    <w:tmpl w:val="7C5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1110A"/>
    <w:multiLevelType w:val="multilevel"/>
    <w:tmpl w:val="B52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93064"/>
    <w:multiLevelType w:val="multilevel"/>
    <w:tmpl w:val="5DC0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F584C"/>
    <w:multiLevelType w:val="multilevel"/>
    <w:tmpl w:val="6D2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D413C"/>
    <w:multiLevelType w:val="multilevel"/>
    <w:tmpl w:val="BF1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026C1"/>
    <w:multiLevelType w:val="multilevel"/>
    <w:tmpl w:val="E438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3683A"/>
    <w:multiLevelType w:val="multilevel"/>
    <w:tmpl w:val="A296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173D24"/>
    <w:multiLevelType w:val="multilevel"/>
    <w:tmpl w:val="A000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F4BE2"/>
    <w:multiLevelType w:val="multilevel"/>
    <w:tmpl w:val="C9FA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775A9"/>
    <w:multiLevelType w:val="multilevel"/>
    <w:tmpl w:val="46BE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879C2"/>
    <w:multiLevelType w:val="multilevel"/>
    <w:tmpl w:val="CBF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A2C7C"/>
    <w:multiLevelType w:val="multilevel"/>
    <w:tmpl w:val="9AB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F6916"/>
    <w:multiLevelType w:val="multilevel"/>
    <w:tmpl w:val="623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40A9A"/>
    <w:multiLevelType w:val="multilevel"/>
    <w:tmpl w:val="BB6A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B41ED"/>
    <w:multiLevelType w:val="multilevel"/>
    <w:tmpl w:val="E560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D38A5"/>
    <w:multiLevelType w:val="multilevel"/>
    <w:tmpl w:val="AB52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41FC8"/>
    <w:multiLevelType w:val="multilevel"/>
    <w:tmpl w:val="EF8C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B258D"/>
    <w:multiLevelType w:val="multilevel"/>
    <w:tmpl w:val="8B9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A176B"/>
    <w:multiLevelType w:val="multilevel"/>
    <w:tmpl w:val="1260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04AF5"/>
    <w:multiLevelType w:val="multilevel"/>
    <w:tmpl w:val="9AA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A5E52"/>
    <w:multiLevelType w:val="multilevel"/>
    <w:tmpl w:val="700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12708">
    <w:abstractNumId w:val="8"/>
  </w:num>
  <w:num w:numId="2" w16cid:durableId="616444992">
    <w:abstractNumId w:val="6"/>
  </w:num>
  <w:num w:numId="3" w16cid:durableId="114252336">
    <w:abstractNumId w:val="5"/>
  </w:num>
  <w:num w:numId="4" w16cid:durableId="11881600">
    <w:abstractNumId w:val="4"/>
  </w:num>
  <w:num w:numId="5" w16cid:durableId="1185171929">
    <w:abstractNumId w:val="7"/>
  </w:num>
  <w:num w:numId="6" w16cid:durableId="2037458794">
    <w:abstractNumId w:val="3"/>
  </w:num>
  <w:num w:numId="7" w16cid:durableId="835415473">
    <w:abstractNumId w:val="2"/>
  </w:num>
  <w:num w:numId="8" w16cid:durableId="1152330162">
    <w:abstractNumId w:val="1"/>
  </w:num>
  <w:num w:numId="9" w16cid:durableId="727454508">
    <w:abstractNumId w:val="0"/>
  </w:num>
  <w:num w:numId="10" w16cid:durableId="1027222764">
    <w:abstractNumId w:val="17"/>
  </w:num>
  <w:num w:numId="11" w16cid:durableId="562375166">
    <w:abstractNumId w:val="27"/>
  </w:num>
  <w:num w:numId="12" w16cid:durableId="979000537">
    <w:abstractNumId w:val="21"/>
  </w:num>
  <w:num w:numId="13" w16cid:durableId="325744909">
    <w:abstractNumId w:val="22"/>
  </w:num>
  <w:num w:numId="14" w16cid:durableId="812217699">
    <w:abstractNumId w:val="16"/>
  </w:num>
  <w:num w:numId="15" w16cid:durableId="1727679272">
    <w:abstractNumId w:val="20"/>
  </w:num>
  <w:num w:numId="16" w16cid:durableId="1236630147">
    <w:abstractNumId w:val="11"/>
  </w:num>
  <w:num w:numId="17" w16cid:durableId="879590335">
    <w:abstractNumId w:val="9"/>
  </w:num>
  <w:num w:numId="18" w16cid:durableId="979843181">
    <w:abstractNumId w:val="18"/>
  </w:num>
  <w:num w:numId="19" w16cid:durableId="1700398686">
    <w:abstractNumId w:val="30"/>
  </w:num>
  <w:num w:numId="20" w16cid:durableId="1107116387">
    <w:abstractNumId w:val="31"/>
  </w:num>
  <w:num w:numId="21" w16cid:durableId="483812847">
    <w:abstractNumId w:val="15"/>
  </w:num>
  <w:num w:numId="22" w16cid:durableId="638876068">
    <w:abstractNumId w:val="24"/>
  </w:num>
  <w:num w:numId="23" w16cid:durableId="1466237409">
    <w:abstractNumId w:val="26"/>
  </w:num>
  <w:num w:numId="24" w16cid:durableId="966275845">
    <w:abstractNumId w:val="25"/>
  </w:num>
  <w:num w:numId="25" w16cid:durableId="1227960830">
    <w:abstractNumId w:val="28"/>
  </w:num>
  <w:num w:numId="26" w16cid:durableId="351960029">
    <w:abstractNumId w:val="12"/>
  </w:num>
  <w:num w:numId="27" w16cid:durableId="460422220">
    <w:abstractNumId w:val="14"/>
  </w:num>
  <w:num w:numId="28" w16cid:durableId="1038436097">
    <w:abstractNumId w:val="23"/>
  </w:num>
  <w:num w:numId="29" w16cid:durableId="732586411">
    <w:abstractNumId w:val="13"/>
  </w:num>
  <w:num w:numId="30" w16cid:durableId="645744170">
    <w:abstractNumId w:val="19"/>
  </w:num>
  <w:num w:numId="31" w16cid:durableId="949703151">
    <w:abstractNumId w:val="29"/>
  </w:num>
  <w:num w:numId="32" w16cid:durableId="11494377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BF3"/>
    <w:rsid w:val="004D62C3"/>
    <w:rsid w:val="00AA1D8D"/>
    <w:rsid w:val="00AD7BE0"/>
    <w:rsid w:val="00B47730"/>
    <w:rsid w:val="00CB0664"/>
    <w:rsid w:val="00CE10D7"/>
    <w:rsid w:val="00EB0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46FEE"/>
  <w14:defaultImageDpi w14:val="300"/>
  <w15:docId w15:val="{678545EB-294F-C541-93EF-BCF67692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D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Hoang Dinh Duc</cp:lastModifiedBy>
  <cp:revision>3</cp:revision>
  <dcterms:created xsi:type="dcterms:W3CDTF">2013-12-23T23:15:00Z</dcterms:created>
  <dcterms:modified xsi:type="dcterms:W3CDTF">2025-07-27T09:30:00Z</dcterms:modified>
  <cp:category/>
</cp:coreProperties>
</file>